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90E7F" w14:textId="5C25A1AA" w:rsidR="009C1C07" w:rsidRDefault="009C1C07" w:rsidP="001D4313">
      <w:pPr>
        <w:rPr>
          <w:b/>
          <w:color w:val="104F75"/>
          <w:sz w:val="36"/>
          <w:szCs w:val="24"/>
          <w:lang w:eastAsia="en-GB"/>
        </w:rPr>
      </w:pPr>
      <w:r w:rsidRPr="00FC267A">
        <w:rPr>
          <w:rFonts w:cs="Arial"/>
          <w:b/>
          <w:bCs/>
          <w:noProof/>
          <w:sz w:val="36"/>
          <w:lang w:eastAsia="en-GB"/>
        </w:rPr>
        <w:drawing>
          <wp:inline distT="0" distB="0" distL="0" distR="0" wp14:anchorId="2AB7CE6D" wp14:editId="6876F301">
            <wp:extent cx="2430145" cy="1499235"/>
            <wp:effectExtent l="0" t="0" r="8255" b="5715"/>
            <wp:docPr id="1" name="Picture 1"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145" cy="1499235"/>
                    </a:xfrm>
                    <a:prstGeom prst="rect">
                      <a:avLst/>
                    </a:prstGeom>
                    <a:noFill/>
                    <a:ln>
                      <a:noFill/>
                    </a:ln>
                  </pic:spPr>
                </pic:pic>
              </a:graphicData>
            </a:graphic>
          </wp:inline>
        </w:drawing>
      </w:r>
      <w:bookmarkStart w:id="0" w:name="_GoBack"/>
      <w:bookmarkEnd w:id="0"/>
    </w:p>
    <w:p w14:paraId="35CF9118" w14:textId="77777777" w:rsidR="009C1C07" w:rsidRDefault="009C1C07" w:rsidP="001D4313">
      <w:pPr>
        <w:rPr>
          <w:b/>
          <w:color w:val="104F75"/>
          <w:sz w:val="36"/>
          <w:szCs w:val="24"/>
          <w:lang w:eastAsia="en-GB"/>
        </w:rPr>
      </w:pPr>
    </w:p>
    <w:p w14:paraId="2D16F4C3" w14:textId="4809AA1A" w:rsidR="001D4313" w:rsidRPr="001D4313" w:rsidRDefault="001F4436" w:rsidP="001D4313">
      <w:r w:rsidRPr="001D4313">
        <w:rPr>
          <w:b/>
          <w:color w:val="104F75"/>
          <w:sz w:val="36"/>
          <w:szCs w:val="24"/>
          <w:lang w:eastAsia="en-GB"/>
        </w:rPr>
        <w:t>Privacy Notice</w:t>
      </w:r>
      <w:r w:rsidR="00A05334" w:rsidRPr="001D4313">
        <w:rPr>
          <w:b/>
          <w:color w:val="104F75"/>
          <w:sz w:val="36"/>
          <w:szCs w:val="24"/>
          <w:lang w:eastAsia="en-GB"/>
        </w:rPr>
        <w:t xml:space="preserve"> (</w:t>
      </w:r>
      <w:r w:rsidR="004B1EA2">
        <w:rPr>
          <w:b/>
          <w:color w:val="104F75"/>
          <w:sz w:val="36"/>
          <w:szCs w:val="24"/>
          <w:lang w:eastAsia="en-GB"/>
        </w:rPr>
        <w:t xml:space="preserve">How we use </w:t>
      </w:r>
      <w:r w:rsidR="00893217">
        <w:rPr>
          <w:b/>
          <w:color w:val="943634" w:themeColor="accent2" w:themeShade="BF"/>
          <w:sz w:val="36"/>
          <w:szCs w:val="24"/>
          <w:lang w:eastAsia="en-GB"/>
        </w:rPr>
        <w:t>Governor</w:t>
      </w:r>
      <w:r w:rsidR="004B1EA2" w:rsidRPr="004B1EA2">
        <w:rPr>
          <w:b/>
          <w:color w:val="943634" w:themeColor="accent2" w:themeShade="BF"/>
          <w:sz w:val="36"/>
          <w:szCs w:val="24"/>
          <w:lang w:eastAsia="en-GB"/>
        </w:rPr>
        <w:t xml:space="preserve"> </w:t>
      </w:r>
      <w:proofErr w:type="gramStart"/>
      <w:r w:rsidR="004B1EA2">
        <w:rPr>
          <w:b/>
          <w:color w:val="104F75"/>
          <w:sz w:val="36"/>
          <w:szCs w:val="24"/>
          <w:lang w:eastAsia="en-GB"/>
        </w:rPr>
        <w:t>information</w:t>
      </w:r>
      <w:proofErr w:type="gramEnd"/>
      <w:r w:rsidR="00A05334" w:rsidRPr="001D4313">
        <w:rPr>
          <w:b/>
          <w:color w:val="104F75"/>
          <w:sz w:val="36"/>
          <w:szCs w:val="24"/>
          <w:lang w:eastAsia="en-GB"/>
        </w:rPr>
        <w:t>)</w:t>
      </w:r>
    </w:p>
    <w:p w14:paraId="5F0888A2" w14:textId="7CCEFB86" w:rsidR="001F4436" w:rsidRPr="006E0D86" w:rsidRDefault="004B1EA2"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The categories of</w:t>
      </w:r>
      <w:r w:rsidR="001F4436" w:rsidRPr="006E0D86">
        <w:rPr>
          <w:color w:val="104F75"/>
          <w:kern w:val="0"/>
          <w:sz w:val="32"/>
          <w:szCs w:val="32"/>
          <w:lang w:eastAsia="en-GB"/>
        </w:rPr>
        <w:t xml:space="preserve"> inform</w:t>
      </w:r>
      <w:r w:rsidR="00D17482">
        <w:rPr>
          <w:color w:val="104F75"/>
          <w:kern w:val="0"/>
          <w:sz w:val="32"/>
          <w:szCs w:val="32"/>
          <w:lang w:eastAsia="en-GB"/>
        </w:rPr>
        <w:t>ation that we process</w:t>
      </w:r>
      <w:r>
        <w:rPr>
          <w:color w:val="104F75"/>
          <w:kern w:val="0"/>
          <w:sz w:val="32"/>
          <w:szCs w:val="32"/>
          <w:lang w:eastAsia="en-GB"/>
        </w:rPr>
        <w:t xml:space="preserve"> with relation to our </w:t>
      </w:r>
      <w:r w:rsidR="00893217">
        <w:rPr>
          <w:color w:val="943634" w:themeColor="accent2" w:themeShade="BF"/>
          <w:kern w:val="0"/>
          <w:sz w:val="32"/>
          <w:szCs w:val="32"/>
          <w:lang w:eastAsia="en-GB"/>
        </w:rPr>
        <w:t>Governors</w:t>
      </w:r>
      <w:r w:rsidR="00D17482" w:rsidRPr="004B1EA2">
        <w:rPr>
          <w:color w:val="943634" w:themeColor="accent2" w:themeShade="BF"/>
          <w:kern w:val="0"/>
          <w:sz w:val="32"/>
          <w:szCs w:val="32"/>
          <w:lang w:eastAsia="en-GB"/>
        </w:rPr>
        <w:t xml:space="preserve"> </w:t>
      </w:r>
      <w:r w:rsidR="001F4436" w:rsidRPr="006E0D86">
        <w:rPr>
          <w:color w:val="104F75"/>
          <w:kern w:val="0"/>
          <w:sz w:val="32"/>
          <w:szCs w:val="32"/>
          <w:lang w:eastAsia="en-GB"/>
        </w:rPr>
        <w:t>include:</w:t>
      </w:r>
    </w:p>
    <w:p w14:paraId="5FA39BC3" w14:textId="2643FA4D" w:rsidR="001F4436" w:rsidRPr="00FA61FA" w:rsidRDefault="004B1EA2" w:rsidP="001F4436">
      <w:pPr>
        <w:pStyle w:val="ListParagraph"/>
        <w:numPr>
          <w:ilvl w:val="0"/>
          <w:numId w:val="25"/>
        </w:numPr>
        <w:rPr>
          <w:szCs w:val="22"/>
        </w:rPr>
      </w:pPr>
      <w:r>
        <w:rPr>
          <w:szCs w:val="22"/>
        </w:rPr>
        <w:t>P</w:t>
      </w:r>
      <w:r w:rsidR="001F4436" w:rsidRPr="00FA61FA">
        <w:rPr>
          <w:szCs w:val="22"/>
        </w:rPr>
        <w:t xml:space="preserve">ersonal information (such as </w:t>
      </w:r>
      <w:r>
        <w:rPr>
          <w:szCs w:val="22"/>
        </w:rPr>
        <w:t xml:space="preserve">Disclosure and Barring Service information, </w:t>
      </w:r>
      <w:r w:rsidR="001F4436" w:rsidRPr="00FA61FA">
        <w:rPr>
          <w:szCs w:val="22"/>
        </w:rPr>
        <w:t xml:space="preserve">name, </w:t>
      </w:r>
      <w:r>
        <w:rPr>
          <w:szCs w:val="22"/>
        </w:rPr>
        <w:t>address, phone number and email</w:t>
      </w:r>
      <w:r w:rsidR="001F4436" w:rsidRPr="00FA61FA">
        <w:rPr>
          <w:szCs w:val="22"/>
        </w:rPr>
        <w:t>)</w:t>
      </w:r>
    </w:p>
    <w:p w14:paraId="7A39AAAB" w14:textId="491C4AC9" w:rsidR="001F4436" w:rsidRDefault="004B1EA2" w:rsidP="004B1EA2">
      <w:pPr>
        <w:pStyle w:val="ListParagraph"/>
        <w:numPr>
          <w:ilvl w:val="0"/>
          <w:numId w:val="25"/>
        </w:numPr>
        <w:rPr>
          <w:szCs w:val="22"/>
        </w:rPr>
      </w:pPr>
      <w:r>
        <w:rPr>
          <w:szCs w:val="22"/>
        </w:rPr>
        <w:t>Pecuniary interests information</w:t>
      </w:r>
      <w:r w:rsidR="001F4436" w:rsidRPr="00FA61FA">
        <w:rPr>
          <w:szCs w:val="22"/>
        </w:rPr>
        <w:t xml:space="preserve"> </w:t>
      </w:r>
      <w:r w:rsidR="00D17482">
        <w:rPr>
          <w:szCs w:val="22"/>
        </w:rPr>
        <w:t>(</w:t>
      </w:r>
      <w:r w:rsidR="001F4436" w:rsidRPr="00FA61FA">
        <w:rPr>
          <w:szCs w:val="22"/>
        </w:rPr>
        <w:t>s</w:t>
      </w:r>
      <w:r>
        <w:rPr>
          <w:szCs w:val="22"/>
        </w:rPr>
        <w:t>uch as business directorships, nature of employment</w:t>
      </w:r>
      <w:r w:rsidR="00D17482">
        <w:rPr>
          <w:szCs w:val="22"/>
        </w:rPr>
        <w:t>)</w:t>
      </w:r>
    </w:p>
    <w:p w14:paraId="5D6DD071" w14:textId="04801B98" w:rsidR="00B13456" w:rsidRPr="004B1EA2" w:rsidRDefault="00B13456" w:rsidP="004B1EA2">
      <w:pPr>
        <w:pStyle w:val="ListParagraph"/>
        <w:numPr>
          <w:ilvl w:val="0"/>
          <w:numId w:val="25"/>
        </w:numPr>
        <w:rPr>
          <w:szCs w:val="22"/>
        </w:rPr>
      </w:pPr>
      <w:r>
        <w:rPr>
          <w:szCs w:val="22"/>
        </w:rPr>
        <w:t>Biographical information (such as employment background and experience in public life)</w:t>
      </w:r>
    </w:p>
    <w:p w14:paraId="11555CC8" w14:textId="77777777" w:rsidR="001F4436" w:rsidRPr="00F06C27" w:rsidRDefault="001F4436" w:rsidP="001F4436">
      <w:pPr>
        <w:rPr>
          <w:sz w:val="22"/>
          <w:szCs w:val="22"/>
        </w:rPr>
      </w:pPr>
    </w:p>
    <w:p w14:paraId="5FCD20D4" w14:textId="6698F7F3" w:rsidR="00FF4289" w:rsidRPr="001D4313" w:rsidRDefault="001F4436" w:rsidP="001D4313">
      <w:pPr>
        <w:rPr>
          <w:b/>
          <w:color w:val="104F75"/>
          <w:sz w:val="32"/>
          <w:szCs w:val="32"/>
          <w:lang w:eastAsia="en-GB"/>
        </w:rPr>
      </w:pPr>
      <w:r w:rsidRPr="001D4313">
        <w:rPr>
          <w:b/>
          <w:color w:val="104F75"/>
          <w:sz w:val="32"/>
          <w:szCs w:val="32"/>
          <w:lang w:eastAsia="en-GB"/>
        </w:rPr>
        <w:t>Why</w:t>
      </w:r>
      <w:r w:rsidR="00A05334" w:rsidRPr="001D4313">
        <w:rPr>
          <w:b/>
          <w:color w:val="104F75"/>
          <w:sz w:val="32"/>
          <w:szCs w:val="32"/>
          <w:lang w:eastAsia="en-GB"/>
        </w:rPr>
        <w:t xml:space="preserve"> we collect and u</w:t>
      </w:r>
      <w:r w:rsidRPr="001D4313">
        <w:rPr>
          <w:b/>
          <w:color w:val="104F75"/>
          <w:sz w:val="32"/>
          <w:szCs w:val="32"/>
          <w:lang w:eastAsia="en-GB"/>
        </w:rPr>
        <w:t xml:space="preserve">se </w:t>
      </w:r>
      <w:r w:rsidR="00893217">
        <w:rPr>
          <w:b/>
          <w:color w:val="943634" w:themeColor="accent2" w:themeShade="BF"/>
          <w:sz w:val="32"/>
          <w:szCs w:val="32"/>
          <w:lang w:eastAsia="en-GB"/>
        </w:rPr>
        <w:t>Governor</w:t>
      </w:r>
      <w:r w:rsidRPr="00A91B24">
        <w:rPr>
          <w:b/>
          <w:color w:val="943634" w:themeColor="accent2" w:themeShade="BF"/>
          <w:sz w:val="32"/>
          <w:szCs w:val="32"/>
          <w:lang w:eastAsia="en-GB"/>
        </w:rPr>
        <w:t xml:space="preserve"> </w:t>
      </w:r>
      <w:proofErr w:type="gramStart"/>
      <w:r w:rsidRPr="001D4313">
        <w:rPr>
          <w:b/>
          <w:color w:val="104F75"/>
          <w:sz w:val="32"/>
          <w:szCs w:val="32"/>
          <w:lang w:eastAsia="en-GB"/>
        </w:rPr>
        <w:t>information</w:t>
      </w:r>
      <w:proofErr w:type="gramEnd"/>
    </w:p>
    <w:p w14:paraId="416AC23A" w14:textId="77777777" w:rsidR="001D4313" w:rsidRPr="001D4313" w:rsidRDefault="001D4313" w:rsidP="001D4313">
      <w:pPr>
        <w:rPr>
          <w:lang w:eastAsia="en-GB"/>
        </w:rPr>
      </w:pPr>
    </w:p>
    <w:p w14:paraId="795E6BB8" w14:textId="11104E3D" w:rsidR="000B3662" w:rsidRPr="00FA61FA" w:rsidRDefault="00A05334" w:rsidP="006854CE">
      <w:pPr>
        <w:rPr>
          <w:szCs w:val="22"/>
          <w:lang w:val="en-US"/>
        </w:rPr>
      </w:pPr>
      <w:r w:rsidRPr="00FA61FA">
        <w:rPr>
          <w:szCs w:val="22"/>
        </w:rPr>
        <w:t xml:space="preserve">We use </w:t>
      </w:r>
      <w:r w:rsidR="00893217">
        <w:rPr>
          <w:color w:val="943634" w:themeColor="accent2" w:themeShade="BF"/>
          <w:szCs w:val="22"/>
        </w:rPr>
        <w:t>Governor</w:t>
      </w:r>
      <w:r w:rsidR="00772F3B" w:rsidRPr="00A91B24">
        <w:rPr>
          <w:color w:val="943634" w:themeColor="accent2" w:themeShade="BF"/>
          <w:szCs w:val="22"/>
        </w:rPr>
        <w:t xml:space="preserve"> </w:t>
      </w:r>
      <w:proofErr w:type="gramStart"/>
      <w:r w:rsidRPr="00FA61FA">
        <w:rPr>
          <w:szCs w:val="22"/>
        </w:rPr>
        <w:t>data</w:t>
      </w:r>
      <w:proofErr w:type="gramEnd"/>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62590AD4" w:rsidR="000B3662" w:rsidRPr="00FA61FA" w:rsidRDefault="00A91B24" w:rsidP="001D4313">
      <w:pPr>
        <w:numPr>
          <w:ilvl w:val="0"/>
          <w:numId w:val="37"/>
        </w:numPr>
        <w:rPr>
          <w:szCs w:val="22"/>
          <w:lang w:val="en-US"/>
        </w:rPr>
      </w:pPr>
      <w:r>
        <w:rPr>
          <w:szCs w:val="22"/>
          <w:lang w:val="en-US"/>
        </w:rPr>
        <w:t>e</w:t>
      </w:r>
      <w:r w:rsidR="004B1EA2">
        <w:rPr>
          <w:szCs w:val="22"/>
          <w:lang w:val="en-US"/>
        </w:rPr>
        <w:t xml:space="preserve">nsure that </w:t>
      </w:r>
      <w:r w:rsidR="00893217">
        <w:rPr>
          <w:color w:val="943634" w:themeColor="accent2" w:themeShade="BF"/>
          <w:szCs w:val="22"/>
          <w:lang w:val="en-US"/>
        </w:rPr>
        <w:t>Governors</w:t>
      </w:r>
      <w:r>
        <w:rPr>
          <w:color w:val="943634" w:themeColor="accent2" w:themeShade="BF"/>
          <w:szCs w:val="22"/>
          <w:lang w:val="en-US"/>
        </w:rPr>
        <w:t xml:space="preserve"> </w:t>
      </w:r>
      <w:r>
        <w:rPr>
          <w:szCs w:val="22"/>
          <w:lang w:val="en-US"/>
        </w:rPr>
        <w:t>are appropriate people to be working with schools and children</w:t>
      </w:r>
    </w:p>
    <w:p w14:paraId="676ECE0E" w14:textId="7E30ED3E" w:rsidR="000B3662" w:rsidRPr="00FA61FA" w:rsidRDefault="00A91B24" w:rsidP="001D4313">
      <w:pPr>
        <w:numPr>
          <w:ilvl w:val="0"/>
          <w:numId w:val="37"/>
        </w:numPr>
        <w:rPr>
          <w:szCs w:val="22"/>
          <w:lang w:val="en-US"/>
        </w:rPr>
      </w:pPr>
      <w:r>
        <w:rPr>
          <w:szCs w:val="22"/>
          <w:lang w:val="en-US"/>
        </w:rPr>
        <w:t xml:space="preserve">ensure that are able to carry out their duties in line with the seven </w:t>
      </w:r>
      <w:r w:rsidR="00EF047A">
        <w:rPr>
          <w:szCs w:val="22"/>
          <w:lang w:val="en-US"/>
        </w:rPr>
        <w:t>principles</w:t>
      </w:r>
      <w:r>
        <w:rPr>
          <w:szCs w:val="22"/>
          <w:lang w:val="en-US"/>
        </w:rPr>
        <w:t xml:space="preserve"> of public life and do not have conflicts of interest</w:t>
      </w:r>
    </w:p>
    <w:p w14:paraId="2E2CA44C" w14:textId="5F54D5E4" w:rsidR="001F4436" w:rsidRDefault="00A91B24" w:rsidP="00A91B24">
      <w:pPr>
        <w:numPr>
          <w:ilvl w:val="0"/>
          <w:numId w:val="37"/>
        </w:numPr>
        <w:rPr>
          <w:szCs w:val="22"/>
          <w:lang w:val="en-US"/>
        </w:rPr>
      </w:pPr>
      <w:r>
        <w:rPr>
          <w:szCs w:val="22"/>
          <w:lang w:val="en-US"/>
        </w:rPr>
        <w:t xml:space="preserve">inform the public of who the </w:t>
      </w:r>
      <w:r w:rsidR="00893217">
        <w:rPr>
          <w:color w:val="943634" w:themeColor="accent2" w:themeShade="BF"/>
          <w:szCs w:val="22"/>
          <w:lang w:val="en-US"/>
        </w:rPr>
        <w:t>Governors</w:t>
      </w:r>
      <w:r w:rsidRPr="00A91B24">
        <w:rPr>
          <w:color w:val="943634" w:themeColor="accent2" w:themeShade="BF"/>
          <w:szCs w:val="22"/>
          <w:lang w:val="en-US"/>
        </w:rPr>
        <w:t xml:space="preserve"> </w:t>
      </w:r>
      <w:r>
        <w:rPr>
          <w:szCs w:val="22"/>
          <w:lang w:val="en-US"/>
        </w:rPr>
        <w:t>of the school are</w:t>
      </w:r>
    </w:p>
    <w:p w14:paraId="1AE4F637" w14:textId="71474AA5" w:rsidR="00B13456" w:rsidRPr="00A91B24" w:rsidRDefault="00B13456" w:rsidP="00A91B24">
      <w:pPr>
        <w:numPr>
          <w:ilvl w:val="0"/>
          <w:numId w:val="37"/>
        </w:numPr>
        <w:rPr>
          <w:color w:val="943634" w:themeColor="accent2" w:themeShade="BF"/>
          <w:szCs w:val="22"/>
          <w:lang w:val="en-US"/>
        </w:rPr>
      </w:pPr>
      <w:r w:rsidRPr="00893217">
        <w:rPr>
          <w:szCs w:val="22"/>
          <w:lang w:val="en-US"/>
        </w:rPr>
        <w:t>To demonstrate to the general public the suitability of our governance team in the pursuance of the objects of our school</w:t>
      </w:r>
    </w:p>
    <w:p w14:paraId="7ECC3FF4" w14:textId="0997A91D" w:rsidR="00A91B24" w:rsidRDefault="00A91B24" w:rsidP="00A91B24">
      <w:pPr>
        <w:rPr>
          <w:szCs w:val="22"/>
          <w:lang w:val="en-US"/>
        </w:rPr>
      </w:pPr>
    </w:p>
    <w:p w14:paraId="1A3F7A01" w14:textId="77777777" w:rsidR="00A91B24" w:rsidRPr="00A91B24" w:rsidRDefault="00A91B24" w:rsidP="00A91B24">
      <w:pPr>
        <w:rPr>
          <w:szCs w:val="22"/>
          <w:lang w:val="en-US"/>
        </w:rPr>
      </w:pPr>
    </w:p>
    <w:p w14:paraId="0F29F5E4" w14:textId="38C85BD6" w:rsidR="00D17482" w:rsidRDefault="00D17482" w:rsidP="00D17482">
      <w:pPr>
        <w:rPr>
          <w:szCs w:val="24"/>
          <w:lang w:eastAsia="en-GB"/>
        </w:rPr>
      </w:pPr>
      <w:r w:rsidRPr="00B46A16">
        <w:rPr>
          <w:rFonts w:cs="Arial"/>
        </w:rPr>
        <w:t>Under the General Data Protection Reg</w:t>
      </w:r>
      <w:r w:rsidR="00E278FA">
        <w:rPr>
          <w:rFonts w:cs="Arial"/>
        </w:rPr>
        <w:t>ulation (GDPR), the legal basis / bases</w:t>
      </w:r>
      <w:r>
        <w:rPr>
          <w:rFonts w:cs="Arial"/>
        </w:rPr>
        <w:t xml:space="preserve"> we rely on for processing personal</w:t>
      </w:r>
      <w:r w:rsidRPr="00B46A16">
        <w:rPr>
          <w:rFonts w:cs="Arial"/>
        </w:rPr>
        <w:t xml:space="preserve"> information for general purposes are:</w:t>
      </w:r>
      <w:r>
        <w:rPr>
          <w:rFonts w:cs="Arial"/>
        </w:rPr>
        <w:t xml:space="preserve"> </w:t>
      </w:r>
    </w:p>
    <w:p w14:paraId="66B08E50" w14:textId="77777777" w:rsidR="00D17482" w:rsidRPr="001D4313" w:rsidRDefault="00D17482" w:rsidP="001D4313">
      <w:pPr>
        <w:widowControl/>
        <w:overflowPunct/>
        <w:autoSpaceDE/>
        <w:autoSpaceDN/>
        <w:adjustRightInd/>
        <w:spacing w:after="160" w:line="259" w:lineRule="auto"/>
        <w:contextualSpacing/>
        <w:textAlignment w:val="auto"/>
        <w:rPr>
          <w:rFonts w:cs="Arial"/>
        </w:rPr>
      </w:pPr>
    </w:p>
    <w:p w14:paraId="4208B76A" w14:textId="6A680200" w:rsidR="001D4313" w:rsidRDefault="001D4313" w:rsidP="00D17482">
      <w:pPr>
        <w:rPr>
          <w:b/>
          <w:color w:val="8A2529"/>
          <w:szCs w:val="24"/>
          <w:lang w:eastAsia="en-GB"/>
        </w:rPr>
      </w:pPr>
    </w:p>
    <w:p w14:paraId="377389FE" w14:textId="13250E17" w:rsidR="00B13456" w:rsidRPr="00B13456" w:rsidRDefault="001D4313" w:rsidP="001D4313">
      <w:pPr>
        <w:pStyle w:val="ListParagraph"/>
        <w:widowControl/>
        <w:numPr>
          <w:ilvl w:val="0"/>
          <w:numId w:val="38"/>
        </w:numPr>
        <w:overflowPunct/>
        <w:autoSpaceDE/>
        <w:autoSpaceDN/>
        <w:adjustRightInd/>
        <w:spacing w:after="240" w:line="288" w:lineRule="auto"/>
        <w:contextualSpacing/>
        <w:textAlignment w:val="auto"/>
        <w:rPr>
          <w:rFonts w:eastAsiaTheme="minorHAnsi" w:cs="Arial"/>
          <w:szCs w:val="22"/>
        </w:rPr>
      </w:pPr>
      <w:r w:rsidRPr="003C5E13">
        <w:rPr>
          <w:rFonts w:cs="Arial"/>
        </w:rPr>
        <w:t xml:space="preserve">for the purposes of </w:t>
      </w:r>
      <w:r w:rsidR="00B13456" w:rsidRPr="00B13456">
        <w:rPr>
          <w:szCs w:val="24"/>
          <w:lang w:eastAsia="en-GB"/>
        </w:rPr>
        <w:t>Personal and pecuniary interest information, this is collected</w:t>
      </w:r>
      <w:r w:rsidRPr="00B13456">
        <w:rPr>
          <w:rFonts w:cs="Arial"/>
        </w:rPr>
        <w:t xml:space="preserve"> i</w:t>
      </w:r>
      <w:r w:rsidRPr="003C5E13">
        <w:rPr>
          <w:rFonts w:cs="Arial"/>
        </w:rPr>
        <w:t xml:space="preserve">n accordance with the legal basis of </w:t>
      </w:r>
    </w:p>
    <w:p w14:paraId="1FF7B4CB" w14:textId="2B99B6E3" w:rsidR="001D4313" w:rsidRPr="00B13456" w:rsidRDefault="00B13456" w:rsidP="00B13456">
      <w:pPr>
        <w:pStyle w:val="ListParagraph"/>
        <w:widowControl/>
        <w:numPr>
          <w:ilvl w:val="1"/>
          <w:numId w:val="38"/>
        </w:numPr>
        <w:overflowPunct/>
        <w:autoSpaceDE/>
        <w:autoSpaceDN/>
        <w:adjustRightInd/>
        <w:spacing w:after="240" w:line="288" w:lineRule="auto"/>
        <w:contextualSpacing/>
        <w:textAlignment w:val="auto"/>
        <w:rPr>
          <w:rFonts w:eastAsiaTheme="minorHAnsi" w:cs="Arial"/>
          <w:szCs w:val="22"/>
        </w:rPr>
      </w:pPr>
      <w:r>
        <w:t>processing is necessary for compliance with a legal obligation to which the controller is subject</w:t>
      </w:r>
    </w:p>
    <w:p w14:paraId="4309FDF4" w14:textId="18287ED5" w:rsidR="00B13456" w:rsidRPr="00B13456" w:rsidRDefault="00B13456" w:rsidP="00B13456">
      <w:pPr>
        <w:pStyle w:val="ListParagraph"/>
        <w:widowControl/>
        <w:numPr>
          <w:ilvl w:val="0"/>
          <w:numId w:val="38"/>
        </w:numPr>
        <w:overflowPunct/>
        <w:autoSpaceDE/>
        <w:autoSpaceDN/>
        <w:adjustRightInd/>
        <w:spacing w:after="240" w:line="288" w:lineRule="auto"/>
        <w:contextualSpacing/>
        <w:textAlignment w:val="auto"/>
        <w:rPr>
          <w:rFonts w:eastAsiaTheme="minorHAnsi" w:cs="Arial"/>
          <w:szCs w:val="22"/>
        </w:rPr>
      </w:pPr>
      <w:r>
        <w:t>Apart from Address,</w:t>
      </w:r>
      <w:r w:rsidR="00F4143C">
        <w:t xml:space="preserve"> biographical information,</w:t>
      </w:r>
      <w:r>
        <w:t xml:space="preserve"> email and telephone number which is kept on the legal basis of</w:t>
      </w:r>
    </w:p>
    <w:p w14:paraId="22124A17" w14:textId="48B9FD75" w:rsidR="00B13456" w:rsidRPr="00BF424C" w:rsidRDefault="00B13456" w:rsidP="00B13456">
      <w:pPr>
        <w:pStyle w:val="ListParagraph"/>
        <w:widowControl/>
        <w:numPr>
          <w:ilvl w:val="1"/>
          <w:numId w:val="38"/>
        </w:numPr>
        <w:overflowPunct/>
        <w:autoSpaceDE/>
        <w:autoSpaceDN/>
        <w:adjustRightInd/>
        <w:spacing w:after="240" w:line="288" w:lineRule="auto"/>
        <w:contextualSpacing/>
        <w:textAlignment w:val="auto"/>
        <w:rPr>
          <w:rFonts w:eastAsiaTheme="minorHAnsi" w:cs="Arial"/>
          <w:szCs w:val="22"/>
        </w:rPr>
      </w:pPr>
      <w:r>
        <w:t>processing is necessary for the performance of a task carried out in the public interest or in the exercise of official authority vested in the controller</w:t>
      </w:r>
    </w:p>
    <w:p w14:paraId="438CACE8" w14:textId="43FC362A" w:rsidR="001D4313" w:rsidRPr="001D4313" w:rsidRDefault="00E25BF3" w:rsidP="001D4313">
      <w:pPr>
        <w:rPr>
          <w:b/>
          <w:color w:val="104F75"/>
          <w:sz w:val="32"/>
          <w:szCs w:val="32"/>
          <w:lang w:eastAsia="en-GB"/>
        </w:rPr>
      </w:pPr>
      <w:r w:rsidRPr="001D4313">
        <w:rPr>
          <w:b/>
          <w:color w:val="104F75"/>
          <w:sz w:val="32"/>
          <w:szCs w:val="32"/>
          <w:lang w:eastAsia="en-GB"/>
        </w:rPr>
        <w:t xml:space="preserve">Collecting </w:t>
      </w:r>
      <w:r w:rsidR="00A91B24" w:rsidRPr="00F4143C">
        <w:rPr>
          <w:b/>
          <w:color w:val="943634" w:themeColor="accent2" w:themeShade="BF"/>
          <w:sz w:val="32"/>
          <w:szCs w:val="32"/>
          <w:lang w:eastAsia="en-GB"/>
        </w:rPr>
        <w:t>Governors</w:t>
      </w:r>
      <w:r w:rsidRPr="00F4143C">
        <w:rPr>
          <w:b/>
          <w:color w:val="943634" w:themeColor="accent2" w:themeShade="BF"/>
          <w:sz w:val="32"/>
          <w:szCs w:val="32"/>
          <w:lang w:eastAsia="en-GB"/>
        </w:rPr>
        <w:t xml:space="preserve"> </w:t>
      </w:r>
      <w:r w:rsidRPr="001D4313">
        <w:rPr>
          <w:b/>
          <w:color w:val="104F75"/>
          <w:sz w:val="32"/>
          <w:szCs w:val="32"/>
          <w:lang w:eastAsia="en-GB"/>
        </w:rPr>
        <w:t>information</w:t>
      </w:r>
    </w:p>
    <w:p w14:paraId="703B1A0B" w14:textId="77777777" w:rsidR="00F4143C" w:rsidRDefault="00F4143C" w:rsidP="001D4313"/>
    <w:p w14:paraId="5406210E" w14:textId="3BB5C8E6" w:rsidR="00D17482" w:rsidRPr="001D4313" w:rsidRDefault="00D17482" w:rsidP="001D4313">
      <w:r w:rsidRPr="001D4313">
        <w:t xml:space="preserve">We collect personal information via </w:t>
      </w:r>
      <w:r w:rsidR="00F4143C">
        <w:t xml:space="preserve">Governor </w:t>
      </w:r>
      <w:proofErr w:type="gramStart"/>
      <w:r w:rsidR="00F4143C">
        <w:t>information</w:t>
      </w:r>
      <w:proofErr w:type="gramEnd"/>
      <w:r w:rsidR="00F4143C">
        <w:t xml:space="preserve"> and application forms.</w:t>
      </w:r>
    </w:p>
    <w:p w14:paraId="0A2EE969" w14:textId="77777777" w:rsidR="00D17482" w:rsidRDefault="00D17482" w:rsidP="00D17482">
      <w:pPr>
        <w:suppressAutoHyphens/>
        <w:rPr>
          <w:szCs w:val="24"/>
          <w:lang w:eastAsia="en-GB"/>
        </w:rPr>
      </w:pPr>
    </w:p>
    <w:p w14:paraId="4DF81640" w14:textId="2826BBD7" w:rsidR="00E25BF3" w:rsidRDefault="00F4143C" w:rsidP="00D17482">
      <w:pPr>
        <w:suppressAutoHyphens/>
        <w:rPr>
          <w:szCs w:val="24"/>
          <w:lang w:eastAsia="en-GB"/>
        </w:rPr>
      </w:pPr>
      <w:r>
        <w:rPr>
          <w:rFonts w:cs="Arial"/>
        </w:rPr>
        <w:t>Governance</w:t>
      </w:r>
      <w:r w:rsidR="00D17482" w:rsidRPr="00B46A16">
        <w:rPr>
          <w:rFonts w:cs="Arial"/>
        </w:rPr>
        <w:t xml:space="preserve"> da</w:t>
      </w:r>
      <w:r w:rsidR="00D17482">
        <w:rPr>
          <w:rFonts w:cs="Arial"/>
        </w:rPr>
        <w:t xml:space="preserve">ta is essential for the </w:t>
      </w:r>
      <w:r>
        <w:rPr>
          <w:rFonts w:cs="Arial"/>
        </w:rPr>
        <w:t xml:space="preserve">school’s </w:t>
      </w:r>
      <w:r w:rsidR="00D17482" w:rsidRPr="00B46A16">
        <w:rPr>
          <w:rFonts w:cs="Arial"/>
        </w:rPr>
        <w:t>operational use.</w:t>
      </w:r>
      <w:r w:rsidR="00D17482" w:rsidRPr="00B46A16">
        <w:t xml:space="preserve"> </w:t>
      </w:r>
      <w:r w:rsidR="00EE183C">
        <w:t>We require all governors to supply this information so that we can ensure that the pub</w:t>
      </w:r>
      <w:r w:rsidR="00893217">
        <w:t xml:space="preserve">lic and our regulator, the </w:t>
      </w:r>
      <w:proofErr w:type="spellStart"/>
      <w:r w:rsidR="00893217">
        <w:t>DfE</w:t>
      </w:r>
      <w:proofErr w:type="spellEnd"/>
      <w:r w:rsidR="00893217">
        <w:t>,</w:t>
      </w:r>
      <w:r w:rsidR="00EE183C" w:rsidRPr="00EE183C">
        <w:rPr>
          <w:color w:val="943634" w:themeColor="accent2" w:themeShade="BF"/>
        </w:rPr>
        <w:t xml:space="preserve"> </w:t>
      </w:r>
      <w:r w:rsidR="00EE183C">
        <w:t>can be informed of the appropriate credentials of our Governance team</w:t>
      </w:r>
      <w:r w:rsidR="00D17482" w:rsidRPr="00162099">
        <w:rPr>
          <w:szCs w:val="24"/>
          <w:lang w:eastAsia="en-GB"/>
        </w:rPr>
        <w:t xml:space="preserve">. </w:t>
      </w:r>
    </w:p>
    <w:p w14:paraId="7A8F7636" w14:textId="77777777" w:rsidR="001D4313" w:rsidRPr="00FA61FA" w:rsidRDefault="001D4313" w:rsidP="00D17482">
      <w:pPr>
        <w:suppressAutoHyphens/>
        <w:rPr>
          <w:szCs w:val="22"/>
        </w:rPr>
      </w:pPr>
    </w:p>
    <w:p w14:paraId="33042F74" w14:textId="6DF375C7" w:rsidR="00E25BF3" w:rsidRPr="001D4313" w:rsidRDefault="00EE183C" w:rsidP="001D4313">
      <w:pPr>
        <w:rPr>
          <w:b/>
          <w:color w:val="104F75"/>
          <w:sz w:val="32"/>
          <w:szCs w:val="32"/>
          <w:lang w:eastAsia="en-GB"/>
        </w:rPr>
      </w:pPr>
      <w:r>
        <w:rPr>
          <w:b/>
          <w:color w:val="104F75"/>
          <w:sz w:val="32"/>
          <w:szCs w:val="32"/>
          <w:lang w:eastAsia="en-GB"/>
        </w:rPr>
        <w:t>Storing Governance</w:t>
      </w:r>
      <w:r w:rsidR="003F0DD7" w:rsidRPr="001D4313">
        <w:rPr>
          <w:b/>
          <w:color w:val="104F75"/>
          <w:sz w:val="32"/>
          <w:szCs w:val="32"/>
          <w:lang w:eastAsia="en-GB"/>
        </w:rPr>
        <w:t xml:space="preserve"> information</w:t>
      </w:r>
    </w:p>
    <w:p w14:paraId="4AB50B85" w14:textId="7925FFEA" w:rsidR="00D17482" w:rsidRDefault="00D17482" w:rsidP="00D17482">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w:t>
      </w:r>
      <w:r w:rsidR="00893217">
        <w:rPr>
          <w:rFonts w:cs="Arial"/>
        </w:rPr>
        <w:t xml:space="preserve"> our website.</w:t>
      </w:r>
      <w:r w:rsidRPr="00EE4B7B">
        <w:rPr>
          <w:rFonts w:cs="Arial"/>
        </w:rPr>
        <w:t xml:space="preserve"> </w:t>
      </w:r>
    </w:p>
    <w:p w14:paraId="021F075D" w14:textId="77777777" w:rsidR="00D17482" w:rsidRPr="00EE4B7B" w:rsidRDefault="00D17482" w:rsidP="00D17482">
      <w:pPr>
        <w:rPr>
          <w:rFonts w:cs="Arial"/>
        </w:rPr>
      </w:pPr>
    </w:p>
    <w:p w14:paraId="20CCEC9C" w14:textId="12060D32" w:rsidR="00E25BF3" w:rsidRPr="001D4313" w:rsidRDefault="00E25BF3" w:rsidP="001D4313">
      <w:pPr>
        <w:rPr>
          <w:b/>
          <w:color w:val="104F75"/>
          <w:sz w:val="32"/>
          <w:szCs w:val="32"/>
          <w:lang w:eastAsia="en-GB"/>
        </w:rPr>
      </w:pPr>
      <w:r w:rsidRPr="001D4313">
        <w:rPr>
          <w:b/>
          <w:color w:val="104F75"/>
          <w:sz w:val="32"/>
          <w:szCs w:val="32"/>
          <w:lang w:eastAsia="en-GB"/>
        </w:rPr>
        <w:t xml:space="preserve">Who we share </w:t>
      </w:r>
      <w:r w:rsidR="00EE183C">
        <w:rPr>
          <w:b/>
          <w:color w:val="104F75"/>
          <w:sz w:val="32"/>
          <w:szCs w:val="32"/>
          <w:lang w:eastAsia="en-GB"/>
        </w:rPr>
        <w:t>Governance</w:t>
      </w:r>
      <w:r w:rsidRPr="001D4313">
        <w:rPr>
          <w:b/>
          <w:color w:val="104F75"/>
          <w:sz w:val="32"/>
          <w:szCs w:val="32"/>
          <w:lang w:eastAsia="en-GB"/>
        </w:rPr>
        <w:t xml:space="preserve"> information with</w:t>
      </w:r>
    </w:p>
    <w:p w14:paraId="35D4DC91" w14:textId="4A00B516" w:rsidR="0084380C" w:rsidRPr="00FA61FA" w:rsidRDefault="0084380C" w:rsidP="0084380C">
      <w:pPr>
        <w:rPr>
          <w:szCs w:val="22"/>
        </w:rPr>
      </w:pPr>
      <w:r w:rsidRPr="00FA61FA">
        <w:rPr>
          <w:szCs w:val="22"/>
        </w:rPr>
        <w:t>We routinely share this information with:</w:t>
      </w:r>
    </w:p>
    <w:p w14:paraId="421E7640" w14:textId="77777777" w:rsidR="0084380C" w:rsidRPr="00FA61FA" w:rsidRDefault="0084380C" w:rsidP="0084380C">
      <w:pPr>
        <w:rPr>
          <w:szCs w:val="22"/>
        </w:rPr>
      </w:pPr>
    </w:p>
    <w:p w14:paraId="25AB4B58" w14:textId="48579FA8"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r w:rsidR="001D4313">
        <w:rPr>
          <w:szCs w:val="22"/>
        </w:rPr>
        <w:t xml:space="preserve"> (where applicable)</w:t>
      </w:r>
    </w:p>
    <w:p w14:paraId="37763D7F" w14:textId="03A9438F" w:rsidR="0084380C" w:rsidRDefault="0084380C" w:rsidP="0084380C">
      <w:pPr>
        <w:pStyle w:val="ListParagraph"/>
        <w:widowControl/>
        <w:numPr>
          <w:ilvl w:val="0"/>
          <w:numId w:val="30"/>
        </w:numPr>
        <w:adjustRightInd/>
        <w:contextualSpacing/>
        <w:rPr>
          <w:szCs w:val="22"/>
        </w:rPr>
      </w:pPr>
      <w:r w:rsidRPr="00FA61FA">
        <w:rPr>
          <w:szCs w:val="22"/>
        </w:rPr>
        <w:t>the Department for Education (</w:t>
      </w:r>
      <w:proofErr w:type="spellStart"/>
      <w:r w:rsidRPr="00FA61FA">
        <w:rPr>
          <w:szCs w:val="22"/>
        </w:rPr>
        <w:t>DfE</w:t>
      </w:r>
      <w:proofErr w:type="spellEnd"/>
      <w:r w:rsidRPr="00FA61FA">
        <w:rPr>
          <w:szCs w:val="22"/>
        </w:rPr>
        <w:t xml:space="preserve">) </w:t>
      </w:r>
    </w:p>
    <w:p w14:paraId="0F916E8A" w14:textId="478FEE2C" w:rsidR="00EE183C" w:rsidRDefault="00EE183C" w:rsidP="0084380C">
      <w:pPr>
        <w:pStyle w:val="ListParagraph"/>
        <w:widowControl/>
        <w:numPr>
          <w:ilvl w:val="0"/>
          <w:numId w:val="30"/>
        </w:numPr>
        <w:adjustRightInd/>
        <w:contextualSpacing/>
        <w:rPr>
          <w:szCs w:val="22"/>
        </w:rPr>
      </w:pPr>
      <w:r>
        <w:rPr>
          <w:szCs w:val="22"/>
        </w:rPr>
        <w:t>The General public (through our website and getting information about schools)</w:t>
      </w:r>
    </w:p>
    <w:p w14:paraId="4E21F266" w14:textId="77777777" w:rsidR="0084380C" w:rsidRPr="0084380C" w:rsidRDefault="0084380C" w:rsidP="0084380C">
      <w:pPr>
        <w:rPr>
          <w:sz w:val="22"/>
          <w:szCs w:val="22"/>
        </w:rPr>
      </w:pPr>
    </w:p>
    <w:p w14:paraId="6621C785" w14:textId="07EC2444" w:rsidR="00EF676E" w:rsidRPr="001D4313" w:rsidRDefault="00EF047A" w:rsidP="001D4313">
      <w:pPr>
        <w:rPr>
          <w:b/>
          <w:color w:val="104F75"/>
          <w:sz w:val="32"/>
          <w:szCs w:val="32"/>
          <w:lang w:eastAsia="en-GB"/>
        </w:rPr>
      </w:pPr>
      <w:r>
        <w:rPr>
          <w:b/>
          <w:color w:val="104F75"/>
          <w:sz w:val="32"/>
          <w:szCs w:val="32"/>
          <w:lang w:eastAsia="en-GB"/>
        </w:rPr>
        <w:t>Why we share Governance</w:t>
      </w:r>
      <w:r w:rsidR="00EF676E" w:rsidRPr="001D4313">
        <w:rPr>
          <w:b/>
          <w:color w:val="104F75"/>
          <w:sz w:val="32"/>
          <w:szCs w:val="32"/>
          <w:lang w:eastAsia="en-GB"/>
        </w:rPr>
        <w:t xml:space="preserve"> information</w:t>
      </w:r>
    </w:p>
    <w:p w14:paraId="42DDB15A" w14:textId="20C4948C" w:rsidR="00D17482" w:rsidRDefault="00D17482" w:rsidP="00D17482">
      <w:pPr>
        <w:rPr>
          <w:szCs w:val="24"/>
          <w:lang w:eastAsia="en-GB"/>
        </w:rPr>
      </w:pPr>
      <w:r w:rsidRPr="00F901CD">
        <w:rPr>
          <w:szCs w:val="24"/>
          <w:lang w:eastAsia="en-GB"/>
        </w:rPr>
        <w:t>We do not sha</w:t>
      </w:r>
      <w:r>
        <w:rPr>
          <w:szCs w:val="24"/>
          <w:lang w:eastAsia="en-GB"/>
        </w:rPr>
        <w:t>re informa</w:t>
      </w:r>
      <w:r w:rsidR="00EE183C">
        <w:rPr>
          <w:szCs w:val="24"/>
          <w:lang w:eastAsia="en-GB"/>
        </w:rPr>
        <w:t>tion about our governance</w:t>
      </w:r>
      <w:r>
        <w:rPr>
          <w:szCs w:val="24"/>
          <w:lang w:eastAsia="en-GB"/>
        </w:rPr>
        <w:t xml:space="preserve"> </w:t>
      </w:r>
      <w:r w:rsidRPr="00F901CD">
        <w:rPr>
          <w:szCs w:val="24"/>
          <w:lang w:eastAsia="en-GB"/>
        </w:rPr>
        <w:t>with anyone without consent unless the law and our policies allow us to do so.</w:t>
      </w:r>
    </w:p>
    <w:p w14:paraId="58A42C9A" w14:textId="77777777" w:rsidR="00091F8C" w:rsidRDefault="00091F8C" w:rsidP="00D17482">
      <w:pPr>
        <w:rPr>
          <w:b/>
          <w:color w:val="8A2529"/>
          <w:szCs w:val="24"/>
          <w:lang w:eastAsia="en-GB"/>
        </w:rPr>
      </w:pPr>
    </w:p>
    <w:p w14:paraId="034E681C" w14:textId="77777777" w:rsidR="00227548" w:rsidRPr="00A738CB" w:rsidRDefault="00227548" w:rsidP="00A738CB">
      <w:pPr>
        <w:rPr>
          <w:b/>
          <w:color w:val="104F75"/>
          <w:sz w:val="32"/>
          <w:szCs w:val="32"/>
          <w:lang w:eastAsia="en-GB"/>
        </w:rPr>
      </w:pPr>
      <w:r w:rsidRPr="00A738CB">
        <w:rPr>
          <w:b/>
          <w:color w:val="104F75"/>
          <w:sz w:val="32"/>
          <w:szCs w:val="32"/>
          <w:lang w:eastAsia="en-GB"/>
        </w:rPr>
        <w:t>Requesting access to your personal data</w:t>
      </w:r>
    </w:p>
    <w:p w14:paraId="676CCD5B" w14:textId="18AAD892" w:rsidR="003A6D0F" w:rsidRDefault="00227548" w:rsidP="00227548">
      <w:pPr>
        <w:rPr>
          <w:szCs w:val="24"/>
        </w:rPr>
      </w:pPr>
      <w:r w:rsidRPr="00FA61FA">
        <w:rPr>
          <w:szCs w:val="24"/>
        </w:rPr>
        <w:t>Under data protection legislation, you have the right to request access to information about you that we hold. To make a request for your personal information, contact</w:t>
      </w:r>
      <w:r w:rsidR="00EE183C">
        <w:rPr>
          <w:szCs w:val="24"/>
        </w:rPr>
        <w:t xml:space="preserve"> </w:t>
      </w:r>
      <w:hyperlink r:id="rId9" w:history="1">
        <w:r w:rsidR="003A6D0F" w:rsidRPr="006E5FAB">
          <w:rPr>
            <w:rStyle w:val="Hyperlink"/>
            <w:szCs w:val="24"/>
          </w:rPr>
          <w:t>dataprotection@themast.co.uk</w:t>
        </w:r>
      </w:hyperlink>
    </w:p>
    <w:p w14:paraId="06B27E91" w14:textId="06D2FC44" w:rsidR="00227548" w:rsidRPr="00FA61FA" w:rsidRDefault="00227548" w:rsidP="003A6D0F">
      <w:pPr>
        <w:rPr>
          <w:szCs w:val="24"/>
        </w:rPr>
      </w:pPr>
    </w:p>
    <w:p w14:paraId="08AE3ECC" w14:textId="77777777" w:rsidR="00227548" w:rsidRPr="00FA61FA" w:rsidRDefault="00227548" w:rsidP="00227548">
      <w:pPr>
        <w:rPr>
          <w:rFonts w:cs="Arial"/>
          <w:szCs w:val="24"/>
        </w:rPr>
      </w:pPr>
      <w:r w:rsidRPr="00FA61FA">
        <w:rPr>
          <w:rFonts w:cs="Arial"/>
          <w:szCs w:val="24"/>
        </w:rPr>
        <w:t>You also have the right to:</w:t>
      </w:r>
    </w:p>
    <w:p w14:paraId="1FABBB7A" w14:textId="77777777" w:rsidR="00227548" w:rsidRPr="00FA61FA" w:rsidRDefault="00227548" w:rsidP="00227548">
      <w:pPr>
        <w:rPr>
          <w:rFonts w:cs="Arial"/>
          <w:szCs w:val="24"/>
        </w:rPr>
      </w:pPr>
    </w:p>
    <w:p w14:paraId="1A4406F9"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processing of personal data that is likely to cause, or is causing, damage or distress</w:t>
      </w:r>
    </w:p>
    <w:p w14:paraId="3ECC3528"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prevent processing for the purpose of direct marketing</w:t>
      </w:r>
    </w:p>
    <w:p w14:paraId="3B2009F0"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decisions being taken by automated means</w:t>
      </w:r>
    </w:p>
    <w:p w14:paraId="5729FDD3"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in certain circumstances, have inaccurate personal data rectified, blocked, erased or destroyed; and</w:t>
      </w:r>
    </w:p>
    <w:p w14:paraId="655FC895" w14:textId="77777777" w:rsidR="001D4313" w:rsidRPr="006E1FFB" w:rsidRDefault="001D4313" w:rsidP="001D4313">
      <w:pPr>
        <w:pStyle w:val="ListParagraph"/>
        <w:widowControl/>
        <w:numPr>
          <w:ilvl w:val="0"/>
          <w:numId w:val="28"/>
        </w:numPr>
        <w:overflowPunct/>
        <w:autoSpaceDE/>
        <w:autoSpaceDN/>
        <w:adjustRightInd/>
        <w:spacing w:after="160" w:line="259" w:lineRule="auto"/>
        <w:contextualSpacing/>
        <w:textAlignment w:val="auto"/>
        <w:rPr>
          <w:szCs w:val="24"/>
          <w:lang w:eastAsia="en-GB"/>
        </w:rPr>
      </w:pPr>
      <w:r w:rsidRPr="006E1FFB">
        <w:rPr>
          <w:szCs w:val="24"/>
          <w:lang w:eastAsia="en-GB"/>
        </w:rPr>
        <w:t>a right to seek redress, either through the ICO, or through the courts</w:t>
      </w:r>
    </w:p>
    <w:p w14:paraId="478468B0" w14:textId="77777777" w:rsidR="00227548" w:rsidRPr="00FA61FA" w:rsidRDefault="00227548" w:rsidP="00227548">
      <w:pPr>
        <w:pStyle w:val="ListParagraph"/>
        <w:rPr>
          <w:rFonts w:cs="Arial"/>
          <w:szCs w:val="24"/>
        </w:rPr>
      </w:pPr>
    </w:p>
    <w:p w14:paraId="3DB0F03F" w14:textId="77777777" w:rsidR="00227548" w:rsidRPr="00FA61FA" w:rsidRDefault="00227548" w:rsidP="00227548">
      <w:pPr>
        <w:rPr>
          <w:szCs w:val="24"/>
        </w:rPr>
      </w:pPr>
      <w:r w:rsidRPr="00FA61FA">
        <w:rPr>
          <w:szCs w:val="24"/>
        </w:rPr>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Pr="00FA61FA">
          <w:rPr>
            <w:color w:val="0000FF"/>
            <w:szCs w:val="24"/>
            <w:u w:val="single"/>
          </w:rPr>
          <w:t>https://ico.org.uk/concerns/</w:t>
        </w:r>
      </w:hyperlink>
    </w:p>
    <w:p w14:paraId="47FD6AB1" w14:textId="77777777" w:rsidR="00227548" w:rsidRPr="00F06C27" w:rsidRDefault="00227548" w:rsidP="00227548">
      <w:pPr>
        <w:rPr>
          <w:sz w:val="22"/>
          <w:szCs w:val="22"/>
        </w:rPr>
      </w:pPr>
    </w:p>
    <w:p w14:paraId="5FF2DEEB" w14:textId="77777777" w:rsidR="00227548" w:rsidRPr="00F06C27" w:rsidRDefault="00227548" w:rsidP="00227548">
      <w:pPr>
        <w:rPr>
          <w:sz w:val="22"/>
          <w:szCs w:val="22"/>
        </w:rPr>
      </w:pPr>
    </w:p>
    <w:p w14:paraId="2FC99B29" w14:textId="11F10BF3" w:rsidR="00227548" w:rsidRPr="001D4313" w:rsidRDefault="00227548" w:rsidP="001D4313">
      <w:pPr>
        <w:rPr>
          <w:b/>
          <w:color w:val="104F75"/>
          <w:sz w:val="32"/>
          <w:szCs w:val="32"/>
          <w:lang w:eastAsia="en-GB"/>
        </w:rPr>
      </w:pPr>
      <w:r w:rsidRPr="001D4313">
        <w:rPr>
          <w:b/>
          <w:color w:val="104F75"/>
          <w:sz w:val="32"/>
          <w:szCs w:val="32"/>
          <w:lang w:eastAsia="en-GB"/>
        </w:rPr>
        <w:t>Contact</w:t>
      </w:r>
    </w:p>
    <w:p w14:paraId="2ABFA864" w14:textId="77777777" w:rsidR="003A6D0F" w:rsidRDefault="00227548" w:rsidP="001D4313">
      <w:pPr>
        <w:rPr>
          <w:szCs w:val="24"/>
        </w:rPr>
      </w:pPr>
      <w:r w:rsidRPr="00FA61FA">
        <w:rPr>
          <w:szCs w:val="24"/>
        </w:rPr>
        <w:t>If you would like to discuss anything in this privacy notice, please</w:t>
      </w:r>
      <w:r w:rsidRPr="00FA61FA">
        <w:rPr>
          <w:color w:val="FF0000"/>
          <w:szCs w:val="24"/>
        </w:rPr>
        <w:t xml:space="preserve"> </w:t>
      </w:r>
      <w:r w:rsidRPr="00FA61FA">
        <w:rPr>
          <w:szCs w:val="24"/>
        </w:rPr>
        <w:t>contact:</w:t>
      </w:r>
      <w:r>
        <w:rPr>
          <w:szCs w:val="24"/>
        </w:rPr>
        <w:t xml:space="preserve"> </w:t>
      </w:r>
    </w:p>
    <w:p w14:paraId="09D69776" w14:textId="77777777" w:rsidR="003A6D0F" w:rsidRDefault="003A6D0F" w:rsidP="001D4313">
      <w:pPr>
        <w:rPr>
          <w:szCs w:val="24"/>
        </w:rPr>
      </w:pPr>
    </w:p>
    <w:p w14:paraId="47D919C8" w14:textId="3F3EE9E3" w:rsidR="003A6D0F" w:rsidRDefault="003A6D0F" w:rsidP="001D4313">
      <w:pPr>
        <w:rPr>
          <w:szCs w:val="24"/>
        </w:rPr>
      </w:pPr>
      <w:r>
        <w:rPr>
          <w:szCs w:val="24"/>
        </w:rPr>
        <w:t xml:space="preserve">Email: </w:t>
      </w:r>
      <w:hyperlink r:id="rId11" w:history="1">
        <w:r w:rsidRPr="006E5FAB">
          <w:rPr>
            <w:rStyle w:val="Hyperlink"/>
            <w:szCs w:val="24"/>
          </w:rPr>
          <w:t>dataprotection@themast.co.uk</w:t>
        </w:r>
      </w:hyperlink>
    </w:p>
    <w:p w14:paraId="30627067" w14:textId="77777777" w:rsidR="003A6D0F" w:rsidRDefault="003A6D0F" w:rsidP="001D4313">
      <w:pPr>
        <w:rPr>
          <w:szCs w:val="24"/>
        </w:rPr>
      </w:pPr>
    </w:p>
    <w:p w14:paraId="1EC16278" w14:textId="77777777" w:rsidR="003A6D0F" w:rsidRDefault="003A6D0F" w:rsidP="001D4313">
      <w:pPr>
        <w:rPr>
          <w:szCs w:val="24"/>
        </w:rPr>
      </w:pPr>
      <w:r>
        <w:rPr>
          <w:szCs w:val="24"/>
        </w:rPr>
        <w:t xml:space="preserve">Address: Data Protection Officer, </w:t>
      </w:r>
    </w:p>
    <w:p w14:paraId="3D92A2A8" w14:textId="3C54DD7A" w:rsidR="003A6D0F" w:rsidRDefault="003A6D0F" w:rsidP="001D4313">
      <w:pPr>
        <w:rPr>
          <w:szCs w:val="24"/>
        </w:rPr>
      </w:pPr>
      <w:proofErr w:type="spellStart"/>
      <w:r>
        <w:rPr>
          <w:szCs w:val="24"/>
        </w:rPr>
        <w:t>Scissett</w:t>
      </w:r>
      <w:proofErr w:type="spellEnd"/>
      <w:r>
        <w:rPr>
          <w:szCs w:val="24"/>
        </w:rPr>
        <w:t xml:space="preserve"> Middle School, </w:t>
      </w:r>
    </w:p>
    <w:p w14:paraId="19B4E185" w14:textId="69E97DF9" w:rsidR="003A6D0F" w:rsidRDefault="003A6D0F" w:rsidP="001D4313">
      <w:pPr>
        <w:rPr>
          <w:szCs w:val="24"/>
        </w:rPr>
      </w:pPr>
      <w:r>
        <w:rPr>
          <w:szCs w:val="24"/>
        </w:rPr>
        <w:t xml:space="preserve">Wakefield Road, </w:t>
      </w:r>
    </w:p>
    <w:p w14:paraId="7E6DAF25" w14:textId="16F6EB7D" w:rsidR="003A6D0F" w:rsidRDefault="003A6D0F" w:rsidP="001D4313">
      <w:pPr>
        <w:rPr>
          <w:szCs w:val="24"/>
        </w:rPr>
      </w:pPr>
      <w:proofErr w:type="spellStart"/>
      <w:r>
        <w:rPr>
          <w:szCs w:val="24"/>
        </w:rPr>
        <w:lastRenderedPageBreak/>
        <w:t>Scissett</w:t>
      </w:r>
      <w:proofErr w:type="spellEnd"/>
      <w:r>
        <w:rPr>
          <w:szCs w:val="24"/>
        </w:rPr>
        <w:t xml:space="preserve">, </w:t>
      </w:r>
    </w:p>
    <w:p w14:paraId="275B0DF8" w14:textId="0EE08B41" w:rsidR="00227548" w:rsidRPr="001D4313" w:rsidRDefault="003A6D0F" w:rsidP="001D4313">
      <w:pPr>
        <w:rPr>
          <w:sz w:val="22"/>
          <w:szCs w:val="22"/>
        </w:rPr>
      </w:pPr>
      <w:r>
        <w:rPr>
          <w:szCs w:val="24"/>
        </w:rPr>
        <w:t>HD9 9JX</w:t>
      </w:r>
      <w:r w:rsidR="00227548" w:rsidRPr="00F06C27">
        <w:rPr>
          <w:sz w:val="22"/>
          <w:szCs w:val="22"/>
        </w:rPr>
        <w:t xml:space="preserve"> </w:t>
      </w:r>
    </w:p>
    <w:sectPr w:rsidR="00227548" w:rsidRPr="001D4313" w:rsidSect="00C47A28">
      <w:footerReference w:type="default" r:id="rId12"/>
      <w:footnotePr>
        <w:numRestart w:val="eachSect"/>
      </w:footnotePr>
      <w:type w:val="continuous"/>
      <w:pgSz w:w="11906" w:h="16838"/>
      <w:pgMar w:top="10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54E" w14:textId="7F19F2E9" w:rsidR="00EF676E" w:rsidRDefault="00EF676E" w:rsidP="00C47A28">
    <w:pPr>
      <w:pStyle w:val="Footer"/>
      <w:jc w:val="center"/>
    </w:pPr>
    <w:r>
      <w:fldChar w:fldCharType="begin"/>
    </w:r>
    <w:r>
      <w:instrText xml:space="preserve"> PAGE   \* MERGEFORMAT </w:instrText>
    </w:r>
    <w:r>
      <w:fldChar w:fldCharType="separate"/>
    </w:r>
    <w:r w:rsidR="009C1C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6"/>
  </w:num>
  <w:num w:numId="4">
    <w:abstractNumId w:val="26"/>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4"/>
  </w:num>
  <w:num w:numId="11">
    <w:abstractNumId w:val="6"/>
  </w:num>
  <w:num w:numId="12">
    <w:abstractNumId w:val="27"/>
  </w:num>
  <w:num w:numId="13">
    <w:abstractNumId w:val="1"/>
  </w:num>
  <w:num w:numId="14">
    <w:abstractNumId w:val="23"/>
  </w:num>
  <w:num w:numId="15">
    <w:abstractNumId w:val="14"/>
  </w:num>
  <w:num w:numId="16">
    <w:abstractNumId w:val="28"/>
  </w:num>
  <w:num w:numId="17">
    <w:abstractNumId w:val="34"/>
  </w:num>
  <w:num w:numId="18">
    <w:abstractNumId w:val="22"/>
  </w:num>
  <w:num w:numId="19">
    <w:abstractNumId w:val="31"/>
  </w:num>
  <w:num w:numId="20">
    <w:abstractNumId w:val="32"/>
  </w:num>
  <w:num w:numId="21">
    <w:abstractNumId w:val="2"/>
  </w:num>
  <w:num w:numId="22">
    <w:abstractNumId w:val="12"/>
  </w:num>
  <w:num w:numId="23">
    <w:abstractNumId w:val="11"/>
  </w:num>
  <w:num w:numId="24">
    <w:abstractNumId w:val="38"/>
  </w:num>
  <w:num w:numId="25">
    <w:abstractNumId w:val="16"/>
  </w:num>
  <w:num w:numId="26">
    <w:abstractNumId w:val="7"/>
  </w:num>
  <w:num w:numId="27">
    <w:abstractNumId w:val="5"/>
  </w:num>
  <w:num w:numId="28">
    <w:abstractNumId w:val="33"/>
  </w:num>
  <w:num w:numId="29">
    <w:abstractNumId w:val="21"/>
  </w:num>
  <w:num w:numId="30">
    <w:abstractNumId w:val="17"/>
  </w:num>
  <w:num w:numId="31">
    <w:abstractNumId w:val="13"/>
  </w:num>
  <w:num w:numId="32">
    <w:abstractNumId w:val="8"/>
  </w:num>
  <w:num w:numId="33">
    <w:abstractNumId w:val="35"/>
  </w:num>
  <w:num w:numId="34">
    <w:abstractNumId w:val="10"/>
  </w:num>
  <w:num w:numId="35">
    <w:abstractNumId w:val="20"/>
  </w:num>
  <w:num w:numId="36">
    <w:abstractNumId w:val="25"/>
  </w:num>
  <w:num w:numId="37">
    <w:abstractNumId w:val="19"/>
  </w:num>
  <w:num w:numId="38">
    <w:abstractNumId w:val="29"/>
  </w:num>
  <w:num w:numId="39">
    <w:abstractNumId w:val="37"/>
  </w:num>
  <w:num w:numId="40">
    <w:abstractNumId w:val="3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1F8C"/>
    <w:rsid w:val="00093B6A"/>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4313"/>
    <w:rsid w:val="001D7FB3"/>
    <w:rsid w:val="001E42E2"/>
    <w:rsid w:val="001F0988"/>
    <w:rsid w:val="001F4436"/>
    <w:rsid w:val="001F5889"/>
    <w:rsid w:val="001F6606"/>
    <w:rsid w:val="001F6952"/>
    <w:rsid w:val="002028FA"/>
    <w:rsid w:val="00203CC2"/>
    <w:rsid w:val="00211C37"/>
    <w:rsid w:val="00217581"/>
    <w:rsid w:val="00224A6F"/>
    <w:rsid w:val="00227548"/>
    <w:rsid w:val="00232278"/>
    <w:rsid w:val="00232931"/>
    <w:rsid w:val="002338A1"/>
    <w:rsid w:val="00234A15"/>
    <w:rsid w:val="00242952"/>
    <w:rsid w:val="0024687D"/>
    <w:rsid w:val="002549B9"/>
    <w:rsid w:val="00261173"/>
    <w:rsid w:val="0026410C"/>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6D0F"/>
    <w:rsid w:val="003B6979"/>
    <w:rsid w:val="003C2A2A"/>
    <w:rsid w:val="003C3E8D"/>
    <w:rsid w:val="003D74A2"/>
    <w:rsid w:val="003D7A13"/>
    <w:rsid w:val="003E2B68"/>
    <w:rsid w:val="003F0DD7"/>
    <w:rsid w:val="003F26B6"/>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1EA2"/>
    <w:rsid w:val="004B26FA"/>
    <w:rsid w:val="004B3EC2"/>
    <w:rsid w:val="004B75DC"/>
    <w:rsid w:val="004C0F9F"/>
    <w:rsid w:val="004C23C1"/>
    <w:rsid w:val="004C4067"/>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32AC"/>
    <w:rsid w:val="005A4271"/>
    <w:rsid w:val="005A4515"/>
    <w:rsid w:val="005B5A07"/>
    <w:rsid w:val="005C39C2"/>
    <w:rsid w:val="005D3A84"/>
    <w:rsid w:val="005E4136"/>
    <w:rsid w:val="005F3480"/>
    <w:rsid w:val="005F66D8"/>
    <w:rsid w:val="00603D4B"/>
    <w:rsid w:val="00612869"/>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74F"/>
    <w:rsid w:val="006E0D86"/>
    <w:rsid w:val="006E3F0C"/>
    <w:rsid w:val="006F007A"/>
    <w:rsid w:val="006F7CB7"/>
    <w:rsid w:val="007058B6"/>
    <w:rsid w:val="00707672"/>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36144"/>
    <w:rsid w:val="00843658"/>
    <w:rsid w:val="0084380C"/>
    <w:rsid w:val="00852579"/>
    <w:rsid w:val="00853910"/>
    <w:rsid w:val="008631D3"/>
    <w:rsid w:val="008736BE"/>
    <w:rsid w:val="00876237"/>
    <w:rsid w:val="0088151C"/>
    <w:rsid w:val="008817AB"/>
    <w:rsid w:val="00893217"/>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678A6"/>
    <w:rsid w:val="00972F68"/>
    <w:rsid w:val="0097315A"/>
    <w:rsid w:val="00985772"/>
    <w:rsid w:val="009B024A"/>
    <w:rsid w:val="009B3EFE"/>
    <w:rsid w:val="009B493A"/>
    <w:rsid w:val="009C1C07"/>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1B24"/>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3456"/>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47A28"/>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2CE7"/>
    <w:rsid w:val="00D1350C"/>
    <w:rsid w:val="00D1681F"/>
    <w:rsid w:val="00D17482"/>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278FA"/>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183C"/>
    <w:rsid w:val="00EE6CF4"/>
    <w:rsid w:val="00EF047A"/>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43C"/>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themast.co.uk" TargetMode="Externa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dataprotection@thema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02E5-F2AB-4848-A309-07287B82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2018-05-24T08:31:00Z</dcterms:created>
  <dcterms:modified xsi:type="dcterms:W3CDTF">2018-05-24T08:52:00Z</dcterms:modified>
</cp:coreProperties>
</file>