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76CB" w14:textId="04B9D683" w:rsidR="008E000B" w:rsidRDefault="009D71E8" w:rsidP="00C15D6F">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125E6F">
        <w:t>Highburton C.E. (VC</w:t>
      </w:r>
      <w:r w:rsidR="0010222B">
        <w:t>) First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871F17D" w:rsidR="002940F3" w:rsidRDefault="006B443D">
            <w:pPr>
              <w:pStyle w:val="TableRow"/>
            </w:pPr>
            <w:r>
              <w:t>175</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70812C0" w:rsidR="002940F3" w:rsidRDefault="003B3A2D">
            <w:pPr>
              <w:pStyle w:val="TableRow"/>
            </w:pPr>
            <w:r>
              <w:t>4%</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w:t>
            </w:r>
            <w:proofErr w:type="gramStart"/>
            <w:r w:rsidRPr="1CBF4D92">
              <w:rPr>
                <w:b/>
              </w:rPr>
              <w:t>3 year</w:t>
            </w:r>
            <w:proofErr w:type="gramEnd"/>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1D95510" w:rsidR="002940F3" w:rsidRDefault="00D02852">
            <w:pPr>
              <w:pStyle w:val="TableRow"/>
            </w:pPr>
            <w:r>
              <w:t>2022-202</w:t>
            </w:r>
            <w:r w:rsidR="007952A2">
              <w:t>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22FB562" w:rsidR="002940F3" w:rsidRDefault="00D02852">
            <w:pPr>
              <w:pStyle w:val="TableRow"/>
            </w:pPr>
            <w:r>
              <w:t xml:space="preserve">November </w:t>
            </w:r>
            <w:r w:rsidR="000D0BB5">
              <w:t>20</w:t>
            </w:r>
            <w:r>
              <w:t>22</w:t>
            </w:r>
            <w:r w:rsidR="001125C1">
              <w:t>/November 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22689C8" w:rsidR="002940F3" w:rsidRDefault="000D0BB5">
            <w:pPr>
              <w:pStyle w:val="TableRow"/>
            </w:pPr>
            <w:r>
              <w:t>November 202</w:t>
            </w:r>
            <w:r w:rsidR="001125C1">
              <w:t>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F746208" w:rsidR="002940F3" w:rsidRDefault="000D0BB5">
            <w:pPr>
              <w:pStyle w:val="TableRow"/>
            </w:pPr>
            <w:r>
              <w:t>Graham Booth</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6800829" w:rsidR="002940F3" w:rsidRDefault="000D0BB5">
            <w:pPr>
              <w:pStyle w:val="TableRow"/>
            </w:pPr>
            <w:r>
              <w:t>Graham Booth</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51C29A2" w:rsidR="002940F3" w:rsidRDefault="00461FA2">
            <w:pPr>
              <w:pStyle w:val="TableRow"/>
            </w:pPr>
            <w:r>
              <w:t>Matthew Evans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6195BDD" w:rsidR="00E66558" w:rsidRDefault="009D71E8">
            <w:pPr>
              <w:pStyle w:val="TableRow"/>
            </w:pPr>
            <w:r>
              <w:t>£</w:t>
            </w:r>
            <w:r w:rsidR="00A54159">
              <w:t>18,</w:t>
            </w:r>
            <w:r w:rsidR="00E83E03">
              <w:t>372.50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3A334535" w:rsidR="00E66558" w:rsidRDefault="009D71E8">
            <w:pPr>
              <w:pStyle w:val="TableRow"/>
            </w:pPr>
            <w:r>
              <w:t>£</w:t>
            </w:r>
            <w:r w:rsidR="00D42EE8">
              <w:t>2</w:t>
            </w:r>
            <w:r w:rsidR="00A54159">
              <w:t>972.50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BAC7EB6" w:rsidR="00E66558" w:rsidRDefault="009D71E8">
            <w:pPr>
              <w:pStyle w:val="TableRow"/>
            </w:pPr>
            <w:r>
              <w:t>£</w:t>
            </w:r>
            <w:r w:rsidR="00A54159">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1248652" w:rsidR="00E66558" w:rsidRDefault="009D71E8">
            <w:pPr>
              <w:pStyle w:val="TableRow"/>
            </w:pPr>
            <w:r>
              <w:t>£</w:t>
            </w:r>
            <w:r w:rsidR="00D601F0">
              <w:t>21</w:t>
            </w:r>
            <w:r w:rsidR="00E83E03">
              <w:t>,345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43B3" w14:textId="77777777" w:rsidR="002C7018" w:rsidRPr="00E27862" w:rsidRDefault="002C7018" w:rsidP="002C7018">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attainers. </w:t>
            </w:r>
          </w:p>
          <w:p w14:paraId="1B2E1DA5" w14:textId="77777777" w:rsidR="002C7018" w:rsidRPr="00E27862" w:rsidRDefault="002C7018" w:rsidP="002C7018">
            <w:pPr>
              <w:spacing w:before="120"/>
              <w:rPr>
                <w:rFonts w:cs="Arial"/>
                <w:iCs/>
                <w:color w:val="auto"/>
              </w:rPr>
            </w:pPr>
            <w:r w:rsidRPr="00E27862">
              <w:rPr>
                <w:rFonts w:cs="Arial"/>
                <w:iCs/>
                <w:color w:val="auto"/>
                <w:lang w:val="en-US"/>
              </w:rPr>
              <w:t xml:space="preserve">We will consider the challenges faced by vulnerable pupils, such as those who have a social worker and young </w:t>
            </w:r>
            <w:proofErr w:type="spellStart"/>
            <w:r w:rsidRPr="00E27862">
              <w:rPr>
                <w:rFonts w:cs="Arial"/>
                <w:iCs/>
                <w:color w:val="auto"/>
                <w:lang w:val="en-US"/>
              </w:rPr>
              <w:t>carers</w:t>
            </w:r>
            <w:proofErr w:type="spellEnd"/>
            <w:r w:rsidRPr="00E27862">
              <w:rPr>
                <w:rFonts w:cs="Arial"/>
                <w:iCs/>
                <w:color w:val="auto"/>
                <w:lang w:val="en-US"/>
              </w:rPr>
              <w:t>. The activity we have outlined in this statement is also intended to support their needs, regardless of whether they are disadvantaged or not.</w:t>
            </w:r>
          </w:p>
          <w:p w14:paraId="533400E8" w14:textId="77777777" w:rsidR="002C7018" w:rsidRPr="00E27862" w:rsidRDefault="002C7018" w:rsidP="002C7018">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0D13A671" w14:textId="77777777" w:rsidR="002C7018" w:rsidRPr="00E27862" w:rsidRDefault="002C7018" w:rsidP="002C7018">
            <w:pPr>
              <w:rPr>
                <w:rFonts w:cs="Arial"/>
                <w:color w:val="auto"/>
              </w:rPr>
            </w:pPr>
            <w:r w:rsidRPr="00E27862">
              <w:rPr>
                <w:rFonts w:cs="Arial"/>
                <w:color w:val="auto"/>
              </w:rPr>
              <w:t>Our strategy is also integral to wider school plans for education recovery</w:t>
            </w:r>
            <w:r>
              <w:rPr>
                <w:rFonts w:cs="Arial"/>
                <w:color w:val="auto"/>
              </w:rPr>
              <w:t xml:space="preserve"> following the COVID-19 pandemic</w:t>
            </w:r>
            <w:r w:rsidRPr="00E27862">
              <w:rPr>
                <w:rFonts w:cs="Arial"/>
                <w:color w:val="auto"/>
              </w:rPr>
              <w:t xml:space="preserve">, notably in its targeted support through the National Tutoring Programme for pupils whose education has been worst affected, including non-disadvantaged pupils.    </w:t>
            </w:r>
          </w:p>
          <w:p w14:paraId="45E4EE94" w14:textId="77777777" w:rsidR="002C7018" w:rsidRPr="00E27862" w:rsidRDefault="002C7018" w:rsidP="002C7018">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AA18013" w14:textId="77777777" w:rsidR="002C7018" w:rsidRPr="00E27862" w:rsidRDefault="002C7018" w:rsidP="002C7018">
            <w:pPr>
              <w:numPr>
                <w:ilvl w:val="0"/>
                <w:numId w:val="13"/>
              </w:numPr>
              <w:autoSpaceDN/>
              <w:contextualSpacing/>
              <w:rPr>
                <w:rFonts w:cs="Arial"/>
                <w:iCs/>
                <w:color w:val="auto"/>
                <w:lang w:val="en-US"/>
              </w:rPr>
            </w:pPr>
            <w:r w:rsidRPr="00E27862">
              <w:rPr>
                <w:rFonts w:cs="Arial"/>
                <w:iCs/>
                <w:color w:val="auto"/>
                <w:lang w:val="en-US"/>
              </w:rPr>
              <w:t>ensure disadvantaged pupils are challenged in the work that they’re set</w:t>
            </w:r>
          </w:p>
          <w:p w14:paraId="20BB50B7" w14:textId="77777777" w:rsidR="002C7018" w:rsidRPr="00E27862" w:rsidRDefault="002C7018" w:rsidP="002C7018">
            <w:pPr>
              <w:numPr>
                <w:ilvl w:val="0"/>
                <w:numId w:val="13"/>
              </w:numPr>
              <w:autoSpaceDN/>
              <w:contextualSpacing/>
              <w:rPr>
                <w:rFonts w:cs="Arial"/>
                <w:iCs/>
                <w:color w:val="auto"/>
                <w:lang w:val="en-US"/>
              </w:rPr>
            </w:pPr>
            <w:r w:rsidRPr="00E27862">
              <w:rPr>
                <w:rFonts w:cs="Arial"/>
                <w:color w:val="auto"/>
              </w:rPr>
              <w:t>act early to intervene at the point need is identified</w:t>
            </w:r>
          </w:p>
          <w:p w14:paraId="2A7D54E9" w14:textId="4D14410A" w:rsidR="00E66558" w:rsidRDefault="002C7018" w:rsidP="002C7018">
            <w:pPr>
              <w:pStyle w:val="ListParagraph"/>
              <w:numPr>
                <w:ilvl w:val="0"/>
                <w:numId w:val="13"/>
              </w:numPr>
              <w:rPr>
                <w:i/>
                <w:iCs/>
              </w:rPr>
            </w:pPr>
            <w:r w:rsidRPr="00E27862">
              <w:rPr>
                <w:rFonts w:cs="Arial"/>
                <w:color w:val="auto"/>
              </w:rP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152A5B8" w:rsidR="003720C5" w:rsidRDefault="003720C5">
            <w:pPr>
              <w:pStyle w:val="TableRowCentered"/>
              <w:jc w:val="left"/>
            </w:pPr>
            <w:r>
              <w:t xml:space="preserve">Our assessments show that our disadvantaged pupils find phonics more difficult than the majority of other pupils, and this impacts on their progress in both reading and writing. Our observations and assessments indicate that spelling accuracy is an issue in KS2, particularly amongst pupils who are disadvantaged. </w:t>
            </w:r>
            <w:r w:rsidR="0023756F">
              <w:t>O</w:t>
            </w:r>
            <w:r w:rsidR="00CE17C2">
              <w:t>ut</w:t>
            </w:r>
            <w:r w:rsidR="0023756F">
              <w:t xml:space="preserve"> of th</w:t>
            </w:r>
            <w:r>
              <w:t xml:space="preserve">e </w:t>
            </w:r>
            <w:r w:rsidR="001A2486">
              <w:t>10</w:t>
            </w:r>
            <w:r>
              <w:t xml:space="preserve">% of children who did not pass the phonic screening check in </w:t>
            </w:r>
            <w:r w:rsidR="001A2486">
              <w:t xml:space="preserve">2021 </w:t>
            </w:r>
            <w:r>
              <w:t>and 202</w:t>
            </w:r>
            <w:r w:rsidR="001A2486">
              <w:t>2</w:t>
            </w:r>
            <w:r>
              <w:t xml:space="preserve"> (</w:t>
            </w:r>
            <w:r w:rsidR="00383646">
              <w:t>July</w:t>
            </w:r>
            <w:r>
              <w:t xml:space="preserve"> 202</w:t>
            </w:r>
            <w:r w:rsidR="00383646">
              <w:t>2</w:t>
            </w:r>
            <w:r>
              <w:t xml:space="preserve">), </w:t>
            </w:r>
            <w:r w:rsidR="00D451BB">
              <w:t>67</w:t>
            </w:r>
            <w:r>
              <w:t xml:space="preserve">% are disadvantaged. </w:t>
            </w:r>
            <w:r w:rsidR="004333B9">
              <w:t>50</w:t>
            </w:r>
            <w:r>
              <w:t>% of KS2 pupils categorised as disadvantaged, were working below age related expectations in Writing in July 202</w:t>
            </w:r>
            <w:r w:rsidR="00F30661">
              <w:t>2</w:t>
            </w:r>
            <w:r>
              <w:t>, compared to 1</w:t>
            </w:r>
            <w:r w:rsidR="00D3573F">
              <w:t>7</w:t>
            </w:r>
            <w:r>
              <w:t xml:space="preserve">% of </w:t>
            </w:r>
            <w:r w:rsidR="000D7F1E">
              <w:t>non-disadvantaged</w:t>
            </w:r>
            <w:r>
              <w:t xml:space="preserve">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9D5AE" w14:textId="1D3A9F45" w:rsidR="00597FB1" w:rsidRPr="00E27862" w:rsidRDefault="00597FB1" w:rsidP="00597FB1">
            <w:pPr>
              <w:autoSpaceDN/>
              <w:spacing w:before="60" w:after="120" w:line="240" w:lineRule="auto"/>
              <w:ind w:left="57" w:right="57"/>
              <w:rPr>
                <w:rFonts w:cs="Arial"/>
                <w:color w:val="auto"/>
              </w:rPr>
            </w:pPr>
            <w:r w:rsidRPr="00E27862">
              <w:rPr>
                <w:rFonts w:cs="Arial"/>
                <w:iCs/>
                <w:color w:val="auto"/>
              </w:rPr>
              <w:t>Our assessments</w:t>
            </w:r>
            <w:r>
              <w:rPr>
                <w:rFonts w:cs="Arial"/>
                <w:iCs/>
                <w:color w:val="auto"/>
              </w:rPr>
              <w:t xml:space="preserve">, </w:t>
            </w:r>
            <w:r w:rsidRPr="00E27862">
              <w:rPr>
                <w:rFonts w:cs="Arial"/>
                <w:iCs/>
                <w:color w:val="auto"/>
              </w:rPr>
              <w:t xml:space="preserve">observations </w:t>
            </w:r>
            <w:r>
              <w:rPr>
                <w:rFonts w:cs="Arial"/>
                <w:iCs/>
                <w:color w:val="auto"/>
              </w:rPr>
              <w:t xml:space="preserve">and discussions with pupils and families </w:t>
            </w:r>
            <w:r w:rsidRPr="00E27862">
              <w:rPr>
                <w:rFonts w:cs="Arial"/>
                <w:iCs/>
                <w:color w:val="auto"/>
              </w:rPr>
              <w:t>indicate that the education and wellbeing of m</w:t>
            </w:r>
            <w:r w:rsidRPr="00E27862">
              <w:rPr>
                <w:rFonts w:cs="Arial"/>
                <w:color w:val="auto"/>
              </w:rPr>
              <w:t xml:space="preserve">any of our disadvantaged pupils </w:t>
            </w:r>
            <w:r>
              <w:rPr>
                <w:rFonts w:cs="Arial"/>
                <w:color w:val="auto"/>
              </w:rPr>
              <w:t>continues to be affected by the impact of</w:t>
            </w:r>
            <w:r w:rsidRPr="00E27862">
              <w:rPr>
                <w:rFonts w:cs="Arial"/>
                <w:color w:val="auto"/>
              </w:rPr>
              <w:t xml:space="preserve"> </w:t>
            </w:r>
            <w:r>
              <w:rPr>
                <w:rFonts w:cs="Arial"/>
                <w:color w:val="auto"/>
              </w:rPr>
              <w:t>t</w:t>
            </w:r>
            <w:r w:rsidR="00C45308">
              <w:rPr>
                <w:rFonts w:cs="Arial"/>
                <w:color w:val="auto"/>
              </w:rPr>
              <w:t>he</w:t>
            </w:r>
            <w:r>
              <w:rPr>
                <w:rFonts w:cs="Arial"/>
                <w:color w:val="auto"/>
              </w:rPr>
              <w:t xml:space="preserve"> COVID-19 pandemic, and </w:t>
            </w:r>
            <w:r w:rsidRPr="00E27862">
              <w:rPr>
                <w:rFonts w:cs="Arial"/>
                <w:color w:val="auto"/>
              </w:rPr>
              <w:t xml:space="preserve">to a greater extent than for other pupils. These findings are supported by national studies. </w:t>
            </w:r>
          </w:p>
          <w:p w14:paraId="2A7D54F4" w14:textId="1F8728D0" w:rsidR="00E66558" w:rsidRDefault="00597FB1" w:rsidP="00597FB1">
            <w:pPr>
              <w:pStyle w:val="TableRowCentered"/>
              <w:jc w:val="left"/>
              <w:rPr>
                <w:sz w:val="22"/>
                <w:szCs w:val="22"/>
              </w:rPr>
            </w:pPr>
            <w:r w:rsidRPr="00E27862">
              <w:rPr>
                <w:rFonts w:cs="Arial"/>
                <w:color w:val="auto"/>
              </w:rPr>
              <w:t xml:space="preserve">This has resulted in significant knowledge gaps leading to pupils falling further behind age-related expectations, especially in </w:t>
            </w:r>
            <w:r>
              <w:rPr>
                <w:rFonts w:cs="Arial"/>
                <w:color w:val="auto"/>
              </w:rPr>
              <w:t xml:space="preserve">writing and </w:t>
            </w:r>
            <w:r w:rsidRPr="00E27862">
              <w:rPr>
                <w:rFonts w:cs="Arial"/>
                <w:color w:val="auto"/>
              </w:rPr>
              <w:t>maths.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E86BA25" w:rsidR="00E66558" w:rsidRDefault="00562C6A">
            <w:pPr>
              <w:pStyle w:val="TableRowCentered"/>
              <w:jc w:val="left"/>
              <w:rPr>
                <w:sz w:val="22"/>
                <w:szCs w:val="22"/>
              </w:rPr>
            </w:pPr>
            <w:r>
              <w:t xml:space="preserve">Internal assessments indicate that maths attainment among disadvantaged pupils is below that of non-disadvantaged pupils. </w:t>
            </w:r>
            <w:r w:rsidR="004C2CD5">
              <w:t>43</w:t>
            </w:r>
            <w:r>
              <w:t xml:space="preserve">% of pupils categorised as disadvantaged were working below ARE in maths </w:t>
            </w:r>
            <w:r w:rsidR="00AB65F6">
              <w:t>(July</w:t>
            </w:r>
            <w:r>
              <w:t xml:space="preserve"> 202</w:t>
            </w:r>
            <w:r w:rsidR="00AB65F6">
              <w:t>2)</w:t>
            </w:r>
            <w:r>
              <w:t xml:space="preserve">, compared to </w:t>
            </w:r>
            <w:r w:rsidR="00AB65F6">
              <w:t>13</w:t>
            </w:r>
            <w:r>
              <w:t xml:space="preserve">% of non- disadvantaged pupils. </w:t>
            </w:r>
            <w:r w:rsidR="00062BE1">
              <w:t>14</w:t>
            </w:r>
            <w:r>
              <w:t xml:space="preserve">% of pupil categorised as disadvantaged are working at Greater Depth Standard in maths compared to </w:t>
            </w:r>
            <w:r w:rsidR="00533556">
              <w:t>33</w:t>
            </w:r>
            <w:r>
              <w:t>% of children of non-disadvantaged pupils.</w:t>
            </w:r>
          </w:p>
        </w:tc>
      </w:tr>
      <w:tr w:rsidR="00F60F4F" w14:paraId="7E96098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D1E5B" w14:textId="5CF7A8D3" w:rsidR="00F60F4F" w:rsidRDefault="00F60F4F">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4CB8" w14:textId="66BB9273" w:rsidR="00F60F4F" w:rsidRDefault="005566FA">
            <w:pPr>
              <w:pStyle w:val="TableRowCentered"/>
              <w:jc w:val="left"/>
            </w:pPr>
            <w:r>
              <w:t xml:space="preserve">Monitoring of attendance in 2021/22 is </w:t>
            </w:r>
            <w:r w:rsidR="00DF2716">
              <w:t>noticeable</w:t>
            </w:r>
            <w:r w:rsidR="00BB4C68">
              <w:t xml:space="preserve"> that </w:t>
            </w:r>
            <w:r w:rsidR="00DF2716">
              <w:t xml:space="preserve">the </w:t>
            </w:r>
            <w:r w:rsidR="005A31A1">
              <w:t xml:space="preserve">disadvantage group children are absent or late more than non-disadvantaged children.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A5A9EA9" w:rsidR="00E66558" w:rsidRDefault="00A64D2F">
            <w:pPr>
              <w:pStyle w:val="TableRow"/>
            </w:pPr>
            <w:r>
              <w:t>Improved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99AD579" w:rsidR="00E66558" w:rsidRDefault="008D4E45">
            <w:pPr>
              <w:pStyle w:val="TableRowCentered"/>
              <w:jc w:val="left"/>
              <w:rPr>
                <w:sz w:val="22"/>
                <w:szCs w:val="22"/>
              </w:rPr>
            </w:pPr>
            <w:r>
              <w:t>By end of 202</w:t>
            </w:r>
            <w:r w:rsidR="000D7F1E">
              <w:t>4</w:t>
            </w:r>
            <w:r>
              <w:t>/202</w:t>
            </w:r>
            <w:r w:rsidR="00B215B7">
              <w:t>5</w:t>
            </w:r>
            <w:r>
              <w:t>, whole school teacher assessment data to show that writing attainment of pupils categorised as disadvantaged is broadly in line with that of non-disadvantaged pupils at both expected standard (ARE) and greater depth standard.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AA2BCEF" w:rsidR="00E66558" w:rsidRDefault="003D0F1B">
            <w:pPr>
              <w:pStyle w:val="TableRow"/>
              <w:rPr>
                <w:sz w:val="22"/>
                <w:szCs w:val="22"/>
              </w:rPr>
            </w:pPr>
            <w:r>
              <w:t>To achieve improved wellbeing for all pupils, in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B8EBFCB" w:rsidR="00E66558" w:rsidRDefault="00945E5A">
            <w:pPr>
              <w:pStyle w:val="TableRowCentered"/>
              <w:jc w:val="left"/>
              <w:rPr>
                <w:sz w:val="22"/>
                <w:szCs w:val="22"/>
              </w:rPr>
            </w:pPr>
            <w:r>
              <w:t xml:space="preserve">Qualitative data from student voice, student and parent surveys and teacher observations show children feel well supported in managing their mental health and wellbeing </w:t>
            </w:r>
            <w:r>
              <w:sym w:font="Symbol" w:char="F0B7"/>
            </w:r>
            <w:r>
              <w:t xml:space="preserve"> qualitative data </w:t>
            </w:r>
            <w:r>
              <w:lastRenderedPageBreak/>
              <w:t xml:space="preserve">from student voice, student and parent surveys and teacher observations show children are able to identify and use strategies to support their own mental health and wellbeing. </w:t>
            </w:r>
            <w:r>
              <w:sym w:font="Symbol" w:char="F0B7"/>
            </w:r>
            <w:r>
              <w:t xml:space="preserve"> a significant increase in participation in enrichment activities, particularly among disadvantaged pupils will be evident</w:t>
            </w:r>
            <w:r w:rsidR="000D7F1E">
              <w:t>.</w:t>
            </w:r>
          </w:p>
        </w:tc>
      </w:tr>
      <w:tr w:rsidR="00211DF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1B92F8C" w:rsidR="00211DF9" w:rsidRDefault="00A75A49" w:rsidP="00211DF9">
            <w:pPr>
              <w:pStyle w:val="TableRow"/>
              <w:rPr>
                <w:sz w:val="22"/>
                <w:szCs w:val="22"/>
              </w:rPr>
            </w:pPr>
            <w:r>
              <w:lastRenderedPageBreak/>
              <w:t>Improved Maths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2EE1127B" w:rsidR="00211DF9" w:rsidRDefault="00A75A49" w:rsidP="00211DF9">
            <w:pPr>
              <w:pStyle w:val="TableRowCentered"/>
              <w:jc w:val="left"/>
              <w:rPr>
                <w:sz w:val="22"/>
                <w:szCs w:val="22"/>
              </w:rPr>
            </w:pPr>
            <w:r>
              <w:t>By end of 202</w:t>
            </w:r>
            <w:r w:rsidR="000D7F1E">
              <w:t>4</w:t>
            </w:r>
            <w:r>
              <w:t>/202</w:t>
            </w:r>
            <w:r w:rsidR="00B215B7">
              <w:t>5</w:t>
            </w:r>
            <w:r>
              <w:t>, whole school teacher assessment data to show that maths attainment of pupils categorised as disadvantaged is broadly in line with that of non-disadvantaged pupils at both expected standard (ARE) and greater depth standard.</w:t>
            </w:r>
          </w:p>
        </w:tc>
      </w:tr>
      <w:tr w:rsidR="005A31A1" w14:paraId="10605B6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167A0" w14:textId="5089E98A" w:rsidR="005A31A1" w:rsidRDefault="005A31A1" w:rsidP="00211DF9">
            <w:pPr>
              <w:pStyle w:val="TableRow"/>
            </w:pPr>
            <w:r>
              <w:t xml:space="preserve">Punctuality and attendance </w:t>
            </w:r>
            <w:proofErr w:type="gramStart"/>
            <w:r>
              <w:t>improves</w:t>
            </w:r>
            <w:proofErr w:type="gramEnd"/>
            <w:r>
              <w:t xml:space="preserve"> </w:t>
            </w:r>
            <w:r w:rsidR="0035286C">
              <w:t xml:space="preserve">and is in line with non-disadvantaged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330D" w14:textId="49829051" w:rsidR="005A31A1" w:rsidRDefault="0035286C" w:rsidP="00211DF9">
            <w:pPr>
              <w:pStyle w:val="TableRowCentered"/>
              <w:jc w:val="left"/>
            </w:pPr>
            <w:r>
              <w:t xml:space="preserve">By the end of the academic year </w:t>
            </w:r>
            <w:r w:rsidR="0085057B">
              <w:t xml:space="preserve">attendance data will show that </w:t>
            </w:r>
            <w:r w:rsidR="00FE1A9D">
              <w:t>disad</w:t>
            </w:r>
            <w:r w:rsidR="00912888">
              <w:t>vantage children will be broadly in line with non-disadvantaged children</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DDBD22E" w:rsidR="00E66558" w:rsidRDefault="009D71E8">
      <w:r>
        <w:t xml:space="preserve">Budgeted cost: </w:t>
      </w:r>
      <w:r w:rsidR="007952A2">
        <w:t>£</w:t>
      </w:r>
      <w:r w:rsidR="00F32281">
        <w:rPr>
          <w:i/>
          <w:iCs/>
        </w:rPr>
        <w:t>13,2</w:t>
      </w:r>
      <w:r w:rsidR="007952A2">
        <w:rPr>
          <w:i/>
          <w:iCs/>
        </w:rPr>
        <w:t>10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8820E0"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F3AAE" w14:textId="77777777" w:rsidR="008820E0" w:rsidRPr="00E27862" w:rsidRDefault="008820E0" w:rsidP="008820E0">
            <w:pPr>
              <w:pStyle w:val="TableRow"/>
              <w:spacing w:after="240"/>
              <w:ind w:left="29"/>
              <w:rPr>
                <w:rFonts w:cs="Arial"/>
                <w:color w:val="auto"/>
                <w:shd w:val="clear" w:color="auto" w:fill="FFFFFF"/>
              </w:rPr>
            </w:pPr>
            <w:r w:rsidRPr="00E27862">
              <w:rPr>
                <w:iCs/>
                <w:color w:val="auto"/>
                <w:lang w:val="en-US"/>
              </w:rPr>
              <w:t xml:space="preserve">Purchase of </w:t>
            </w:r>
            <w:proofErr w:type="spellStart"/>
            <w:r w:rsidRPr="00E27862">
              <w:rPr>
                <w:iCs/>
                <w:color w:val="auto"/>
                <w:lang w:val="en-US"/>
              </w:rPr>
              <w:t>standardised</w:t>
            </w:r>
            <w:proofErr w:type="spellEnd"/>
            <w:r w:rsidRPr="00E27862">
              <w:rPr>
                <w:iCs/>
                <w:color w:val="auto"/>
                <w:lang w:val="en-US"/>
              </w:rPr>
              <w:t xml:space="preserve"> diagnostic assessments. </w:t>
            </w:r>
          </w:p>
          <w:p w14:paraId="2A7D551A" w14:textId="614AF382" w:rsidR="008820E0" w:rsidRDefault="008820E0" w:rsidP="008820E0">
            <w:pPr>
              <w:pStyle w:val="TableRow"/>
            </w:pPr>
            <w:r w:rsidRPr="00E27862">
              <w:rPr>
                <w:rFonts w:cs="Arial"/>
                <w:color w:val="auto"/>
                <w:shd w:val="clear" w:color="auto" w:fill="FFFFFF"/>
              </w:rPr>
              <w:t>Training for staff to ensure assessments are interpreted and administered correctly.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CBB50" w14:textId="77777777" w:rsidR="008820E0" w:rsidRPr="00E27862" w:rsidRDefault="008820E0" w:rsidP="008820E0">
            <w:pPr>
              <w:pStyle w:val="TableRowCentered"/>
              <w:jc w:val="left"/>
              <w:rPr>
                <w:color w:val="auto"/>
                <w:szCs w:val="24"/>
              </w:rPr>
            </w:pPr>
            <w:r w:rsidRPr="00E27862">
              <w:rPr>
                <w:color w:val="auto"/>
                <w:szCs w:val="24"/>
              </w:rPr>
              <w:t>Standardised tests can provide reliable insights into the specific strengths and weaknesses of each pupil to help ensure they receive the correct additional support through interventions or teacher instruction:</w:t>
            </w:r>
          </w:p>
          <w:p w14:paraId="2A7D551B" w14:textId="4D5AB3EB" w:rsidR="008820E0" w:rsidRDefault="003B787E" w:rsidP="008820E0">
            <w:pPr>
              <w:pStyle w:val="TableRowCentered"/>
              <w:jc w:val="left"/>
              <w:rPr>
                <w:sz w:val="22"/>
              </w:rPr>
            </w:pPr>
            <w:hyperlink r:id="rId10" w:history="1">
              <w:r w:rsidR="008820E0" w:rsidRPr="00E700F5">
                <w:rPr>
                  <w:color w:val="0070C0"/>
                  <w:szCs w:val="24"/>
                  <w:u w:val="single"/>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57BCE56" w:rsidR="008820E0" w:rsidRDefault="008820E0" w:rsidP="008820E0">
            <w:pPr>
              <w:pStyle w:val="TableRowCentered"/>
              <w:jc w:val="left"/>
              <w:rPr>
                <w:sz w:val="22"/>
              </w:rPr>
            </w:pPr>
            <w:r>
              <w:rPr>
                <w:sz w:val="22"/>
              </w:rPr>
              <w:t>1 and 3</w:t>
            </w:r>
          </w:p>
        </w:tc>
      </w:tr>
      <w:tr w:rsidR="00B1703B"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5363" w14:textId="77777777" w:rsidR="00B1703B" w:rsidRDefault="00B1703B" w:rsidP="00B1703B">
            <w:pPr>
              <w:pStyle w:val="TableRow"/>
              <w:rPr>
                <w:rFonts w:cs="Arial"/>
                <w:iCs/>
                <w:color w:val="auto"/>
              </w:rPr>
            </w:pPr>
            <w:r w:rsidRPr="00E27862">
              <w:rPr>
                <w:rFonts w:cs="Arial"/>
                <w:iCs/>
                <w:color w:val="auto"/>
              </w:rPr>
              <w:t xml:space="preserve">Purchase of </w:t>
            </w:r>
            <w:r>
              <w:rPr>
                <w:rFonts w:cs="Arial"/>
                <w:iCs/>
                <w:color w:val="auto"/>
              </w:rPr>
              <w:t xml:space="preserve">Little </w:t>
            </w:r>
            <w:proofErr w:type="spellStart"/>
            <w:r>
              <w:rPr>
                <w:rFonts w:cs="Arial"/>
                <w:iCs/>
                <w:color w:val="auto"/>
              </w:rPr>
              <w:t>Wandle</w:t>
            </w:r>
            <w:proofErr w:type="spellEnd"/>
            <w:r>
              <w:rPr>
                <w:rFonts w:cs="Arial"/>
                <w:iCs/>
                <w:color w:val="auto"/>
              </w:rPr>
              <w:t xml:space="preserve"> </w:t>
            </w:r>
            <w:r w:rsidRPr="00E27862">
              <w:rPr>
                <w:rFonts w:cs="Arial"/>
                <w:iCs/>
                <w:color w:val="auto"/>
              </w:rPr>
              <w:t xml:space="preserve">to secure </w:t>
            </w:r>
            <w:r w:rsidRPr="00E27862">
              <w:rPr>
                <w:rFonts w:cs="Arial"/>
                <w:iCs/>
                <w:color w:val="auto"/>
              </w:rPr>
              <w:lastRenderedPageBreak/>
              <w:t>stronger phonics teaching for all pupils.</w:t>
            </w:r>
          </w:p>
          <w:p w14:paraId="7E145590" w14:textId="77777777" w:rsidR="00C31D3A" w:rsidRDefault="00C31D3A" w:rsidP="00B1703B">
            <w:pPr>
              <w:pStyle w:val="TableRow"/>
              <w:rPr>
                <w:i/>
              </w:rPr>
            </w:pPr>
          </w:p>
          <w:p w14:paraId="0118C078" w14:textId="77777777" w:rsidR="00C31D3A" w:rsidRDefault="00C31D3A" w:rsidP="00B1703B">
            <w:pPr>
              <w:pStyle w:val="TableRow"/>
              <w:rPr>
                <w:i/>
              </w:rPr>
            </w:pPr>
          </w:p>
          <w:p w14:paraId="2A7D551E" w14:textId="6D235FA2" w:rsidR="00C31D3A" w:rsidRDefault="00C31D3A" w:rsidP="00B1703B">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0ADDF" w14:textId="77777777" w:rsidR="00B1703B" w:rsidRPr="00E27862" w:rsidRDefault="00B1703B" w:rsidP="00B1703B">
            <w:pPr>
              <w:pStyle w:val="TableRowCentered"/>
              <w:jc w:val="left"/>
              <w:rPr>
                <w:rFonts w:cs="Arial"/>
                <w:color w:val="auto"/>
                <w:szCs w:val="24"/>
              </w:rPr>
            </w:pPr>
            <w:r w:rsidRPr="00E27862">
              <w:rPr>
                <w:rFonts w:cs="Arial"/>
                <w:color w:val="auto"/>
                <w:szCs w:val="24"/>
              </w:rPr>
              <w:lastRenderedPageBreak/>
              <w:t xml:space="preserve">Phonics approaches have a strong evidence base that indicates a </w:t>
            </w:r>
            <w:r w:rsidRPr="00E27862">
              <w:rPr>
                <w:rFonts w:cs="Arial"/>
                <w:color w:val="auto"/>
                <w:szCs w:val="24"/>
              </w:rPr>
              <w:lastRenderedPageBreak/>
              <w:t xml:space="preserve">positive impact on the accuracy of word reading (though not necessarily comprehension), particularly for disadvantaged pupils: </w:t>
            </w:r>
          </w:p>
          <w:p w14:paraId="2A7D551F" w14:textId="62EB3EAB" w:rsidR="00B1703B" w:rsidRDefault="003B787E" w:rsidP="00B1703B">
            <w:pPr>
              <w:pStyle w:val="TableRowCentered"/>
              <w:jc w:val="left"/>
              <w:rPr>
                <w:sz w:val="22"/>
              </w:rPr>
            </w:pPr>
            <w:hyperlink r:id="rId11" w:history="1">
              <w:r w:rsidR="00B1703B" w:rsidRPr="00D01A6D">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71876B0" w:rsidR="00B1703B" w:rsidRDefault="006F33DF" w:rsidP="00B1703B">
            <w:pPr>
              <w:pStyle w:val="TableRowCentered"/>
              <w:jc w:val="left"/>
              <w:rPr>
                <w:sz w:val="22"/>
              </w:rPr>
            </w:pPr>
            <w:r>
              <w:rPr>
                <w:sz w:val="22"/>
              </w:rPr>
              <w:lastRenderedPageBreak/>
              <w:t>1</w:t>
            </w:r>
          </w:p>
        </w:tc>
      </w:tr>
      <w:tr w:rsidR="0099148B" w14:paraId="0AA8A7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4805" w14:textId="77777777" w:rsidR="0099148B" w:rsidRPr="00E27862" w:rsidRDefault="0099148B" w:rsidP="0099148B">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4C36C349" w14:textId="4AF3A5C8" w:rsidR="0099148B" w:rsidRPr="00E27862" w:rsidRDefault="0099148B" w:rsidP="0099148B">
            <w:pPr>
              <w:pStyle w:val="TableRow"/>
              <w:rPr>
                <w:rFonts w:cs="Arial"/>
                <w:iCs/>
                <w:color w:val="auto"/>
              </w:rPr>
            </w:pPr>
            <w:r w:rsidRPr="00E27862">
              <w:rPr>
                <w:color w:val="auto"/>
              </w:rPr>
              <w:t>We will fund teacher release time to embed key elements of guidance in school and to access Maths Hub resources and CPD (including Teaching for Mastery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BCBD1" w14:textId="77777777" w:rsidR="0099148B" w:rsidRPr="00E27862" w:rsidRDefault="0099148B" w:rsidP="0099148B">
            <w:pPr>
              <w:autoSpaceDN/>
              <w:spacing w:before="60" w:after="60" w:line="240" w:lineRule="auto"/>
              <w:ind w:left="57" w:right="57"/>
              <w:rPr>
                <w:rFonts w:cs="Arial"/>
                <w:iCs/>
                <w:color w:val="auto"/>
              </w:rPr>
            </w:pPr>
            <w:r w:rsidRPr="00E27862">
              <w:rPr>
                <w:rFonts w:cs="Arial"/>
                <w:iCs/>
                <w:color w:val="auto"/>
              </w:rPr>
              <w:t xml:space="preserve">The DfE non-statutory guidance has been produced in conjunction with the National Centre for Excellence in the Teaching of Mathematics, drawing on evidence-based approaches: </w:t>
            </w:r>
          </w:p>
          <w:p w14:paraId="2B36C274" w14:textId="77777777" w:rsidR="0099148B" w:rsidRPr="00D01A6D" w:rsidRDefault="003B787E" w:rsidP="0099148B">
            <w:pPr>
              <w:autoSpaceDN/>
              <w:spacing w:before="60" w:after="120" w:line="240" w:lineRule="auto"/>
              <w:ind w:left="57" w:right="57"/>
              <w:rPr>
                <w:rFonts w:cs="Arial"/>
                <w:iCs/>
                <w:color w:val="0070C0"/>
              </w:rPr>
            </w:pPr>
            <w:hyperlink r:id="rId12" w:history="1">
              <w:r w:rsidR="0099148B" w:rsidRPr="00D01A6D">
                <w:rPr>
                  <w:color w:val="0070C0"/>
                  <w:u w:val="single"/>
                </w:rPr>
                <w:t>Maths_guidance_KS_1_and_2.pdf (publishing.service.gov.uk)</w:t>
              </w:r>
            </w:hyperlink>
          </w:p>
          <w:p w14:paraId="6ECEB874" w14:textId="77777777" w:rsidR="0099148B" w:rsidRPr="00E27862" w:rsidRDefault="0099148B" w:rsidP="0099148B">
            <w:pPr>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6BEE9D76" w14:textId="0B8719FA" w:rsidR="0099148B" w:rsidRPr="00E27862" w:rsidRDefault="003B787E" w:rsidP="0099148B">
            <w:pPr>
              <w:pStyle w:val="TableRowCentered"/>
              <w:jc w:val="left"/>
              <w:rPr>
                <w:rFonts w:cs="Arial"/>
                <w:color w:val="auto"/>
                <w:szCs w:val="24"/>
              </w:rPr>
            </w:pPr>
            <w:hyperlink r:id="rId13" w:history="1">
              <w:r w:rsidR="0099148B" w:rsidRPr="000106A2">
                <w:rPr>
                  <w:rStyle w:val="Hyperlink"/>
                  <w:rFonts w:cs="Arial"/>
                  <w:color w:val="0070C0"/>
                </w:rPr>
                <w:t>Improving Mathematics in Key Stages 2 and 3</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9ED2" w14:textId="4BD7EE4E" w:rsidR="0099148B" w:rsidRDefault="0099148B" w:rsidP="0099148B">
            <w:pPr>
              <w:pStyle w:val="TableRowCentered"/>
              <w:jc w:val="left"/>
              <w:rPr>
                <w:sz w:val="22"/>
              </w:rPr>
            </w:pPr>
            <w:r>
              <w:rPr>
                <w:sz w:val="22"/>
              </w:rPr>
              <w:t>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A639636" w:rsidR="00E66558" w:rsidRDefault="009D71E8">
      <w:r>
        <w:t xml:space="preserve">Budgeted cost: </w:t>
      </w:r>
      <w:r w:rsidR="00846092">
        <w:t xml:space="preserve">£ </w:t>
      </w:r>
      <w:r w:rsidR="00F32281">
        <w:t>3</w:t>
      </w:r>
      <w:r w:rsidR="00687695">
        <w:t>,565</w:t>
      </w:r>
    </w:p>
    <w:tbl>
      <w:tblPr>
        <w:tblW w:w="5000" w:type="pct"/>
        <w:tblCellMar>
          <w:left w:w="10" w:type="dxa"/>
          <w:right w:w="10" w:type="dxa"/>
        </w:tblCellMar>
        <w:tblLook w:val="04A0" w:firstRow="1" w:lastRow="0" w:firstColumn="1" w:lastColumn="0" w:noHBand="0" w:noVBand="1"/>
      </w:tblPr>
      <w:tblGrid>
        <w:gridCol w:w="2532"/>
        <w:gridCol w:w="4627"/>
        <w:gridCol w:w="2327"/>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F8738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C681736" w:rsidR="00F8738E" w:rsidRDefault="00F8738E" w:rsidP="00F8738E">
            <w:pPr>
              <w:pStyle w:val="TableRow"/>
            </w:pPr>
            <w:r w:rsidRPr="00E27862">
              <w:rPr>
                <w:rFonts w:cs="Arial"/>
                <w:iCs/>
                <w:color w:val="auto"/>
                <w:lang w:val="en-US"/>
              </w:rPr>
              <w:t xml:space="preserve">Additional phonics sessions targeted at disadvantaged pupils who require further phonics support. This will be delivered in collaboration with our local English hub.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A48" w14:textId="77777777" w:rsidR="00F8738E" w:rsidRPr="00E27862" w:rsidRDefault="00F8738E" w:rsidP="00F8738E">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21AD02B5" w:rsidR="00F8738E" w:rsidRDefault="003B787E" w:rsidP="00F8738E">
            <w:pPr>
              <w:pStyle w:val="TableRowCentered"/>
              <w:jc w:val="left"/>
              <w:rPr>
                <w:sz w:val="22"/>
              </w:rPr>
            </w:pPr>
            <w:hyperlink r:id="rId14" w:history="1">
              <w:r w:rsidR="00F8738E" w:rsidRPr="00094874">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5AFA1B7" w:rsidR="00F8738E" w:rsidRDefault="005E5C97" w:rsidP="00F8738E">
            <w:pPr>
              <w:pStyle w:val="TableRowCentered"/>
              <w:jc w:val="left"/>
              <w:rPr>
                <w:sz w:val="22"/>
              </w:rPr>
            </w:pPr>
            <w:r>
              <w:rPr>
                <w:sz w:val="22"/>
              </w:rPr>
              <w:t>1</w:t>
            </w:r>
          </w:p>
        </w:tc>
      </w:tr>
      <w:tr w:rsidR="007E228D"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BCD7F77" w:rsidR="007E228D" w:rsidRDefault="007E228D" w:rsidP="007E228D">
            <w:pPr>
              <w:pStyle w:val="TableRow"/>
              <w:rPr>
                <w:i/>
                <w:sz w:val="22"/>
              </w:rPr>
            </w:pPr>
            <w:r w:rsidRPr="00E27862">
              <w:rPr>
                <w:rFonts w:cs="Arial"/>
                <w:iCs/>
                <w:color w:val="auto"/>
                <w:lang w:val="en-US"/>
              </w:rPr>
              <w:t xml:space="preserve">Engaging with the National Tutoring </w:t>
            </w:r>
            <w:proofErr w:type="spellStart"/>
            <w:r w:rsidRPr="00E27862">
              <w:rPr>
                <w:rFonts w:cs="Arial"/>
                <w:iCs/>
                <w:color w:val="auto"/>
                <w:lang w:val="en-US"/>
              </w:rPr>
              <w:t>Programme</w:t>
            </w:r>
            <w:proofErr w:type="spellEnd"/>
            <w:r w:rsidRPr="00E27862">
              <w:rPr>
                <w:rFonts w:cs="Arial"/>
                <w:iCs/>
                <w:color w:val="auto"/>
                <w:lang w:val="en-US"/>
              </w:rPr>
              <w:t xml:space="preserve"> to provide a blend of tuition, mentoring and school-led tutoring for pupils whose education has been most </w:t>
            </w:r>
            <w:r w:rsidRPr="00E27862">
              <w:rPr>
                <w:rFonts w:cs="Arial"/>
                <w:iCs/>
                <w:color w:val="auto"/>
                <w:lang w:val="en-US"/>
              </w:rPr>
              <w:lastRenderedPageBreak/>
              <w:t>impacted by the pandemic. A significant proportion of the pupils who receive tutoring will be disadvantaged, including those who are high attainers.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F7FC" w14:textId="77777777" w:rsidR="007E228D" w:rsidRPr="00E27862" w:rsidRDefault="007E228D" w:rsidP="007E228D">
            <w:pPr>
              <w:autoSpaceDN/>
              <w:spacing w:before="60" w:after="60" w:line="240" w:lineRule="auto"/>
              <w:ind w:left="57" w:right="57"/>
              <w:rPr>
                <w:color w:val="auto"/>
              </w:rPr>
            </w:pPr>
            <w:r w:rsidRPr="00E27862">
              <w:rPr>
                <w:color w:val="auto"/>
              </w:rPr>
              <w:lastRenderedPageBreak/>
              <w:t>Tuition targeted at specific needs and knowledge gaps can be an effective method to support low attaining pupils or those falling behind, both one-to-one:</w:t>
            </w:r>
          </w:p>
          <w:p w14:paraId="24F963C7" w14:textId="77777777" w:rsidR="007E228D" w:rsidRPr="00094874" w:rsidRDefault="003B787E" w:rsidP="007E228D">
            <w:pPr>
              <w:autoSpaceDN/>
              <w:spacing w:before="60" w:after="60" w:line="240" w:lineRule="auto"/>
              <w:ind w:left="57" w:right="57"/>
              <w:rPr>
                <w:color w:val="0070C0"/>
              </w:rPr>
            </w:pPr>
            <w:hyperlink r:id="rId15" w:history="1">
              <w:r w:rsidR="007E228D" w:rsidRPr="00094874">
                <w:rPr>
                  <w:color w:val="0070C0"/>
                  <w:u w:val="single"/>
                </w:rPr>
                <w:t>One to one tuition | EEF (educationendowmentfoundation.org.uk)</w:t>
              </w:r>
            </w:hyperlink>
          </w:p>
          <w:p w14:paraId="0E758BFC" w14:textId="77777777" w:rsidR="007E228D" w:rsidRPr="00E27862" w:rsidRDefault="007E228D" w:rsidP="007E228D">
            <w:pPr>
              <w:autoSpaceDN/>
              <w:spacing w:before="60" w:after="60" w:line="240" w:lineRule="auto"/>
              <w:ind w:left="57" w:right="57"/>
              <w:rPr>
                <w:color w:val="auto"/>
              </w:rPr>
            </w:pPr>
            <w:r w:rsidRPr="00E27862">
              <w:rPr>
                <w:color w:val="auto"/>
              </w:rPr>
              <w:t>And in small groups:</w:t>
            </w:r>
          </w:p>
          <w:p w14:paraId="2A7D552E" w14:textId="4E87E8FC" w:rsidR="007E228D" w:rsidRDefault="003B787E" w:rsidP="007E228D">
            <w:pPr>
              <w:pStyle w:val="TableRowCentered"/>
              <w:jc w:val="left"/>
              <w:rPr>
                <w:sz w:val="22"/>
              </w:rPr>
            </w:pPr>
            <w:hyperlink r:id="rId16" w:history="1">
              <w:r w:rsidR="007E228D"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48EA7D8" w:rsidR="007E228D" w:rsidRDefault="00721A9A" w:rsidP="007E228D">
            <w:pPr>
              <w:pStyle w:val="TableRowCentered"/>
              <w:jc w:val="left"/>
              <w:rPr>
                <w:sz w:val="22"/>
              </w:rPr>
            </w:pPr>
            <w:r>
              <w:rPr>
                <w:sz w:val="22"/>
              </w:rPr>
              <w:lastRenderedPageBreak/>
              <w:t>1 and 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51501D1" w:rsidR="00E66558" w:rsidRDefault="009D71E8">
      <w:pPr>
        <w:spacing w:before="240" w:after="120"/>
      </w:pPr>
      <w:r>
        <w:t xml:space="preserve">Budgeted cost: £ </w:t>
      </w:r>
      <w:r w:rsidR="006431A1">
        <w:rPr>
          <w:i/>
          <w:iCs/>
        </w:rPr>
        <w:t>4</w:t>
      </w:r>
      <w:r w:rsidR="000A2E1E">
        <w:rPr>
          <w:i/>
          <w:iCs/>
        </w:rPr>
        <w:t>,5</w:t>
      </w:r>
      <w:r w:rsidR="008B1314">
        <w:rPr>
          <w:i/>
          <w:iCs/>
        </w:rPr>
        <w:t>7</w:t>
      </w:r>
      <w:r w:rsidR="00466A26">
        <w:rPr>
          <w:i/>
          <w:iCs/>
        </w:rPr>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777777" w:rsidR="00E66558" w:rsidRDefault="00E66558">
            <w:pPr>
              <w:pStyle w:val="TableRowCentered"/>
              <w:jc w:val="left"/>
              <w:rPr>
                <w:sz w:val="22"/>
              </w:rPr>
            </w:pPr>
          </w:p>
        </w:tc>
      </w:tr>
      <w:tr w:rsidR="00AA640B"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8A87A" w14:textId="77777777" w:rsidR="00AA640B" w:rsidRPr="00E27862" w:rsidRDefault="00AA640B" w:rsidP="00AA640B">
            <w:pPr>
              <w:pStyle w:val="TableRow"/>
              <w:spacing w:after="120"/>
              <w:ind w:left="29"/>
              <w:rPr>
                <w:iCs/>
                <w:color w:val="auto"/>
                <w:szCs w:val="28"/>
                <w:lang w:val="en-US"/>
              </w:rPr>
            </w:pPr>
            <w:r w:rsidRPr="00E27862">
              <w:rPr>
                <w:iCs/>
                <w:color w:val="auto"/>
                <w:szCs w:val="28"/>
                <w:lang w:val="en-US"/>
              </w:rPr>
              <w:t xml:space="preserve">Embedding principles of good practice set out in the DfE’s </w:t>
            </w:r>
            <w:hyperlink r:id="rId17" w:history="1">
              <w:r w:rsidRPr="009A7AA4">
                <w:rPr>
                  <w:rStyle w:val="Hyperlink"/>
                  <w:iCs/>
                  <w:color w:val="0070C0"/>
                  <w:szCs w:val="28"/>
                  <w:lang w:val="en-US"/>
                </w:rPr>
                <w:t>Improving School Attendance</w:t>
              </w:r>
            </w:hyperlink>
            <w:r w:rsidRPr="009A7AA4">
              <w:rPr>
                <w:iCs/>
                <w:color w:val="0070C0"/>
                <w:szCs w:val="28"/>
                <w:lang w:val="en-US"/>
              </w:rPr>
              <w:t xml:space="preserve"> </w:t>
            </w:r>
            <w:r w:rsidRPr="00E27862">
              <w:rPr>
                <w:iCs/>
                <w:color w:val="auto"/>
                <w:szCs w:val="28"/>
                <w:lang w:val="en-US"/>
              </w:rPr>
              <w:t>advice.</w:t>
            </w:r>
          </w:p>
          <w:p w14:paraId="2A7D553C" w14:textId="6544341F" w:rsidR="00AA640B" w:rsidRDefault="00AA640B" w:rsidP="00AA640B">
            <w:pPr>
              <w:pStyle w:val="TableRow"/>
              <w:rPr>
                <w:i/>
                <w:sz w:val="22"/>
              </w:rPr>
            </w:pPr>
            <w:r w:rsidRPr="00E27862">
              <w:rPr>
                <w:iCs/>
                <w:color w:val="auto"/>
                <w:szCs w:val="28"/>
                <w:lang w:val="en-US"/>
              </w:rPr>
              <w:t xml:space="preserve">This will involve training and release time for staff to develop and implement new procedures and appointing attendance/support officers to improve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2FC4E" w14:textId="77777777" w:rsidR="00AA640B" w:rsidRDefault="00AA640B" w:rsidP="00AA640B">
            <w:pPr>
              <w:pStyle w:val="TableRowCentered"/>
              <w:jc w:val="left"/>
              <w:rPr>
                <w:color w:val="auto"/>
              </w:rPr>
            </w:pPr>
            <w:r w:rsidRPr="00E27862">
              <w:rPr>
                <w:color w:val="auto"/>
              </w:rPr>
              <w:t xml:space="preserve">The DfE guidance has been informed by engagement with schools that have significantly reduced levels of absence and persistent absence. </w:t>
            </w:r>
          </w:p>
          <w:p w14:paraId="54EB413B" w14:textId="77777777" w:rsidR="007F733B" w:rsidRDefault="007F733B" w:rsidP="00AA640B">
            <w:pPr>
              <w:pStyle w:val="TableRowCentered"/>
              <w:jc w:val="left"/>
            </w:pPr>
          </w:p>
          <w:p w14:paraId="07F9C230" w14:textId="77777777" w:rsidR="007F733B" w:rsidRDefault="007F733B" w:rsidP="00AA640B">
            <w:pPr>
              <w:pStyle w:val="TableRowCentered"/>
              <w:jc w:val="left"/>
            </w:pPr>
          </w:p>
          <w:p w14:paraId="4A7E09B7" w14:textId="77777777" w:rsidR="007F733B" w:rsidRDefault="007F733B" w:rsidP="00AA640B">
            <w:pPr>
              <w:pStyle w:val="TableRowCentered"/>
              <w:jc w:val="left"/>
            </w:pPr>
          </w:p>
          <w:p w14:paraId="32D8648D" w14:textId="77777777" w:rsidR="007F733B" w:rsidRDefault="007F733B" w:rsidP="00AA640B">
            <w:pPr>
              <w:pStyle w:val="TableRowCentered"/>
              <w:jc w:val="left"/>
            </w:pPr>
          </w:p>
          <w:p w14:paraId="47C09463" w14:textId="77777777" w:rsidR="007F733B" w:rsidRDefault="007F733B" w:rsidP="00AA640B">
            <w:pPr>
              <w:pStyle w:val="TableRowCentered"/>
              <w:jc w:val="left"/>
            </w:pPr>
          </w:p>
          <w:p w14:paraId="7E7BC536" w14:textId="77777777" w:rsidR="007F733B" w:rsidRDefault="007F733B" w:rsidP="00AA640B">
            <w:pPr>
              <w:pStyle w:val="TableRowCentered"/>
              <w:jc w:val="left"/>
            </w:pPr>
          </w:p>
          <w:p w14:paraId="40063935" w14:textId="77777777" w:rsidR="007F733B" w:rsidRDefault="007F733B" w:rsidP="00AA640B">
            <w:pPr>
              <w:pStyle w:val="TableRowCentered"/>
              <w:jc w:val="left"/>
            </w:pPr>
          </w:p>
          <w:p w14:paraId="2A7D553D" w14:textId="6D49B734" w:rsidR="007F733B" w:rsidRDefault="007F733B" w:rsidP="00AA640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CE9285C" w:rsidR="00AA640B" w:rsidRDefault="00AA640B" w:rsidP="00AA640B">
            <w:pPr>
              <w:pStyle w:val="TableRowCentered"/>
              <w:jc w:val="left"/>
              <w:rPr>
                <w:sz w:val="22"/>
              </w:rPr>
            </w:pPr>
            <w:r>
              <w:rPr>
                <w:sz w:val="22"/>
              </w:rPr>
              <w:t>4</w:t>
            </w:r>
          </w:p>
        </w:tc>
      </w:tr>
      <w:tr w:rsidR="007F733B" w14:paraId="7AA1E6C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CD08" w14:textId="1CD8B9CA" w:rsidR="007F733B" w:rsidRPr="00E27862" w:rsidRDefault="007F733B" w:rsidP="00AA640B">
            <w:pPr>
              <w:pStyle w:val="TableRow"/>
              <w:spacing w:after="120"/>
              <w:ind w:left="29"/>
              <w:rPr>
                <w:iCs/>
                <w:color w:val="auto"/>
                <w:szCs w:val="28"/>
                <w:lang w:val="en-US"/>
              </w:rPr>
            </w:pPr>
            <w:r>
              <w:rPr>
                <w:iCs/>
                <w:color w:val="auto"/>
                <w:szCs w:val="28"/>
                <w:lang w:val="en-US"/>
              </w:rPr>
              <w:t>Boxall Profiles</w:t>
            </w:r>
            <w:r w:rsidR="00BA1C71">
              <w:rPr>
                <w:iCs/>
                <w:color w:val="auto"/>
                <w:szCs w:val="28"/>
                <w:lang w:val="en-US"/>
              </w:rPr>
              <w:t xml:space="preserve"> administered by ETA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05CAF" w14:textId="10366E21" w:rsidR="007F733B" w:rsidRPr="00E27862" w:rsidRDefault="00BA1C71" w:rsidP="00AA640B">
            <w:pPr>
              <w:pStyle w:val="TableRowCentered"/>
              <w:jc w:val="left"/>
              <w:rPr>
                <w:color w:val="auto"/>
              </w:rPr>
            </w:pPr>
            <w:r>
              <w:rPr>
                <w:color w:val="auto"/>
              </w:rPr>
              <w:t xml:space="preserve">All </w:t>
            </w:r>
            <w:r w:rsidR="00F87ADE">
              <w:rPr>
                <w:color w:val="auto"/>
              </w:rPr>
              <w:t>disadvantage</w:t>
            </w:r>
            <w:r w:rsidR="00B152D5">
              <w:rPr>
                <w:color w:val="auto"/>
              </w:rPr>
              <w:t xml:space="preserve">d </w:t>
            </w:r>
            <w:r>
              <w:rPr>
                <w:color w:val="auto"/>
              </w:rPr>
              <w:t xml:space="preserve">children to be </w:t>
            </w:r>
            <w:proofErr w:type="spellStart"/>
            <w:r>
              <w:rPr>
                <w:color w:val="auto"/>
              </w:rPr>
              <w:t>boxall</w:t>
            </w:r>
            <w:proofErr w:type="spellEnd"/>
            <w:r>
              <w:rPr>
                <w:color w:val="auto"/>
              </w:rPr>
              <w:t xml:space="preserve"> profiled</w:t>
            </w:r>
            <w:r w:rsidR="00B152D5">
              <w:rPr>
                <w:color w:val="auto"/>
              </w:rPr>
              <w:t xml:space="preserve"> and interventions highlighted.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088EE" w14:textId="132B9998" w:rsidR="007F733B" w:rsidRDefault="00B152D5" w:rsidP="00AA640B">
            <w:pPr>
              <w:pStyle w:val="TableRowCentered"/>
              <w:jc w:val="left"/>
              <w:rPr>
                <w:sz w:val="22"/>
              </w:rPr>
            </w:pPr>
            <w:r>
              <w:rPr>
                <w:sz w:val="22"/>
              </w:rPr>
              <w:t>2</w:t>
            </w:r>
          </w:p>
        </w:tc>
      </w:tr>
      <w:tr w:rsidR="00B152D5" w14:paraId="5778A40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139F" w14:textId="22739133" w:rsidR="00B152D5" w:rsidRDefault="00826858" w:rsidP="00AA640B">
            <w:pPr>
              <w:pStyle w:val="TableRow"/>
              <w:spacing w:after="120"/>
              <w:ind w:left="29"/>
              <w:rPr>
                <w:iCs/>
                <w:color w:val="auto"/>
                <w:szCs w:val="28"/>
                <w:lang w:val="en-US"/>
              </w:rPr>
            </w:pPr>
            <w:r>
              <w:rPr>
                <w:iCs/>
                <w:color w:val="auto"/>
                <w:szCs w:val="28"/>
                <w:lang w:val="en-US"/>
              </w:rPr>
              <w:t>Play Therapy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BD82" w14:textId="6E9D071D" w:rsidR="00B152D5" w:rsidRDefault="00826858" w:rsidP="00AA640B">
            <w:pPr>
              <w:pStyle w:val="TableRowCentered"/>
              <w:jc w:val="left"/>
              <w:rPr>
                <w:color w:val="auto"/>
              </w:rPr>
            </w:pPr>
            <w:r>
              <w:rPr>
                <w:color w:val="auto"/>
              </w:rPr>
              <w:t xml:space="preserve">Intervention </w:t>
            </w:r>
            <w:r w:rsidR="00A054C3">
              <w:rPr>
                <w:color w:val="auto"/>
              </w:rPr>
              <w:t xml:space="preserve">tailored to </w:t>
            </w:r>
            <w:r w:rsidR="00DF2AC6">
              <w:rPr>
                <w:color w:val="auto"/>
              </w:rPr>
              <w:t xml:space="preserve">help improve mental health.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22315" w14:textId="19BBB775" w:rsidR="00B152D5" w:rsidRDefault="00DF2AC6" w:rsidP="00AA640B">
            <w:pPr>
              <w:pStyle w:val="TableRowCentered"/>
              <w:jc w:val="left"/>
              <w:rPr>
                <w:sz w:val="22"/>
              </w:rPr>
            </w:pPr>
            <w:r>
              <w:rPr>
                <w:sz w:val="22"/>
              </w:rPr>
              <w:t>2</w:t>
            </w:r>
          </w:p>
        </w:tc>
      </w:tr>
    </w:tbl>
    <w:p w14:paraId="2A7D5540" w14:textId="77777777" w:rsidR="00E66558" w:rsidRDefault="00E66558">
      <w:pPr>
        <w:spacing w:before="240" w:after="0"/>
        <w:rPr>
          <w:b/>
          <w:bCs/>
          <w:color w:val="104F75"/>
          <w:sz w:val="28"/>
          <w:szCs w:val="28"/>
        </w:rPr>
      </w:pPr>
    </w:p>
    <w:p w14:paraId="2A7D5541" w14:textId="75845733" w:rsidR="00E66558" w:rsidRDefault="009D71E8" w:rsidP="00120AB1">
      <w:r>
        <w:rPr>
          <w:b/>
          <w:bCs/>
          <w:color w:val="104F75"/>
          <w:sz w:val="28"/>
          <w:szCs w:val="28"/>
        </w:rPr>
        <w:t xml:space="preserve">Total budgeted cost: £ </w:t>
      </w:r>
      <w:r w:rsidR="00125E6F">
        <w:rPr>
          <w:b/>
          <w:bCs/>
          <w:color w:val="104F75"/>
          <w:sz w:val="28"/>
          <w:szCs w:val="28"/>
        </w:rPr>
        <w:t>21,34</w:t>
      </w:r>
      <w:r w:rsidR="007952A2">
        <w:rPr>
          <w:b/>
          <w:bCs/>
          <w:color w:val="104F75"/>
          <w:sz w:val="28"/>
          <w:szCs w:val="28"/>
        </w:rPr>
        <w:t>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B215B7">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5C5A2" w14:textId="120DA58C" w:rsidR="00B62B9A" w:rsidRDefault="00B62B9A" w:rsidP="00B215B7">
            <w:pPr>
              <w:rPr>
                <w:i/>
                <w:iCs/>
                <w:lang w:eastAsia="en-US"/>
              </w:rPr>
            </w:pPr>
            <w:r>
              <w:rPr>
                <w:i/>
                <w:iCs/>
                <w:lang w:eastAsia="en-US"/>
              </w:rPr>
              <w:t>2022/23</w:t>
            </w:r>
          </w:p>
          <w:p w14:paraId="30949B11" w14:textId="23AD6327" w:rsidR="00177BBF" w:rsidRDefault="00177BBF" w:rsidP="00B215B7">
            <w:pPr>
              <w:rPr>
                <w:i/>
                <w:iCs/>
                <w:lang w:eastAsia="en-US"/>
              </w:rPr>
            </w:pPr>
            <w:r>
              <w:rPr>
                <w:i/>
                <w:iCs/>
                <w:lang w:eastAsia="en-US"/>
              </w:rPr>
              <w:t>Phonics 100%</w:t>
            </w:r>
            <w:bookmarkStart w:id="17" w:name="_GoBack"/>
            <w:bookmarkEnd w:id="17"/>
          </w:p>
          <w:p w14:paraId="4ACDF01B" w14:textId="1D5647D0" w:rsidR="00173D4C" w:rsidRDefault="00B62B9A" w:rsidP="00B215B7">
            <w:pPr>
              <w:rPr>
                <w:i/>
                <w:iCs/>
                <w:lang w:eastAsia="en-US"/>
              </w:rPr>
            </w:pPr>
            <w:proofErr w:type="gramStart"/>
            <w:r>
              <w:rPr>
                <w:i/>
                <w:iCs/>
                <w:lang w:eastAsia="en-US"/>
              </w:rPr>
              <w:t xml:space="preserve">Reading </w:t>
            </w:r>
            <w:r w:rsidR="00C81926">
              <w:rPr>
                <w:i/>
                <w:iCs/>
                <w:lang w:eastAsia="en-US"/>
              </w:rPr>
              <w:t xml:space="preserve"> </w:t>
            </w:r>
            <w:r w:rsidR="00177BBF">
              <w:rPr>
                <w:i/>
                <w:iCs/>
                <w:lang w:eastAsia="en-US"/>
              </w:rPr>
              <w:t>80</w:t>
            </w:r>
            <w:proofErr w:type="gramEnd"/>
            <w:r w:rsidR="00177BBF">
              <w:rPr>
                <w:i/>
                <w:iCs/>
                <w:lang w:eastAsia="en-US"/>
              </w:rPr>
              <w:t>%</w:t>
            </w:r>
          </w:p>
          <w:p w14:paraId="78FD2734" w14:textId="05BCCBA5" w:rsidR="00B62B9A" w:rsidRDefault="00B62B9A" w:rsidP="00B215B7">
            <w:r>
              <w:t xml:space="preserve">Writing </w:t>
            </w:r>
            <w:r w:rsidR="00177BBF">
              <w:t>80%</w:t>
            </w:r>
          </w:p>
          <w:p w14:paraId="707B4279" w14:textId="65F1099C" w:rsidR="00B62B9A" w:rsidRDefault="00B62B9A" w:rsidP="00B215B7">
            <w:r>
              <w:t>Maths</w:t>
            </w:r>
            <w:r w:rsidR="00177BBF">
              <w:t xml:space="preserve"> 80%</w:t>
            </w:r>
          </w:p>
          <w:p w14:paraId="5023926C" w14:textId="6624A668" w:rsidR="00B62B9A" w:rsidRDefault="00B62B9A" w:rsidP="00B215B7">
            <w:r>
              <w:t xml:space="preserve">GPS </w:t>
            </w:r>
            <w:r w:rsidR="00177BBF">
              <w:t>60%</w:t>
            </w:r>
          </w:p>
        </w:tc>
      </w:tr>
      <w:bookmarkEnd w:id="14"/>
      <w:bookmarkEnd w:id="15"/>
      <w:bookmarkEnd w:id="16"/>
    </w:tbl>
    <w:p w14:paraId="2A7D5564" w14:textId="77777777" w:rsidR="00E66558" w:rsidRDefault="00E66558" w:rsidP="00FB3689">
      <w:pPr>
        <w:pStyle w:val="Heading2"/>
      </w:pPr>
    </w:p>
    <w:sectPr w:rsidR="00E66558">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4ED0B" w14:textId="77777777" w:rsidR="003B787E" w:rsidRDefault="003B787E">
      <w:pPr>
        <w:spacing w:after="0" w:line="240" w:lineRule="auto"/>
      </w:pPr>
      <w:r>
        <w:separator/>
      </w:r>
    </w:p>
  </w:endnote>
  <w:endnote w:type="continuationSeparator" w:id="0">
    <w:p w14:paraId="29456903" w14:textId="77777777" w:rsidR="003B787E" w:rsidRDefault="003B787E">
      <w:pPr>
        <w:spacing w:after="0" w:line="240" w:lineRule="auto"/>
      </w:pPr>
      <w:r>
        <w:continuationSeparator/>
      </w:r>
    </w:p>
  </w:endnote>
  <w:endnote w:type="continuationNotice" w:id="1">
    <w:p w14:paraId="621B6E1E" w14:textId="77777777" w:rsidR="003B787E" w:rsidRDefault="003B7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B215B7" w:rsidRDefault="00B215B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6B6EF" w14:textId="77777777" w:rsidR="003B787E" w:rsidRDefault="003B787E">
      <w:pPr>
        <w:spacing w:after="0" w:line="240" w:lineRule="auto"/>
      </w:pPr>
      <w:r>
        <w:separator/>
      </w:r>
    </w:p>
  </w:footnote>
  <w:footnote w:type="continuationSeparator" w:id="0">
    <w:p w14:paraId="1C7DF689" w14:textId="77777777" w:rsidR="003B787E" w:rsidRDefault="003B787E">
      <w:pPr>
        <w:spacing w:after="0" w:line="240" w:lineRule="auto"/>
      </w:pPr>
      <w:r>
        <w:continuationSeparator/>
      </w:r>
    </w:p>
  </w:footnote>
  <w:footnote w:type="continuationNotice" w:id="1">
    <w:p w14:paraId="4FB631CB" w14:textId="77777777" w:rsidR="003B787E" w:rsidRDefault="003B7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B215B7" w:rsidRDefault="00B21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387D"/>
    <w:rsid w:val="000243B4"/>
    <w:rsid w:val="00036840"/>
    <w:rsid w:val="000452EB"/>
    <w:rsid w:val="000463AE"/>
    <w:rsid w:val="000507A3"/>
    <w:rsid w:val="00060A62"/>
    <w:rsid w:val="00062BE1"/>
    <w:rsid w:val="00064366"/>
    <w:rsid w:val="00066B73"/>
    <w:rsid w:val="00071481"/>
    <w:rsid w:val="00075FAE"/>
    <w:rsid w:val="00082F38"/>
    <w:rsid w:val="0008384B"/>
    <w:rsid w:val="000929EC"/>
    <w:rsid w:val="00093CDE"/>
    <w:rsid w:val="00095743"/>
    <w:rsid w:val="000A2E1E"/>
    <w:rsid w:val="000A6379"/>
    <w:rsid w:val="000D0BB5"/>
    <w:rsid w:val="000D22B0"/>
    <w:rsid w:val="000D35C9"/>
    <w:rsid w:val="000D520C"/>
    <w:rsid w:val="000D6596"/>
    <w:rsid w:val="000D7F1E"/>
    <w:rsid w:val="000E3AE1"/>
    <w:rsid w:val="000E6DF0"/>
    <w:rsid w:val="0010222B"/>
    <w:rsid w:val="001037CB"/>
    <w:rsid w:val="0010629E"/>
    <w:rsid w:val="001125C1"/>
    <w:rsid w:val="00115538"/>
    <w:rsid w:val="00120AB1"/>
    <w:rsid w:val="0012130D"/>
    <w:rsid w:val="00123A7F"/>
    <w:rsid w:val="00125E6F"/>
    <w:rsid w:val="001278D0"/>
    <w:rsid w:val="00127F72"/>
    <w:rsid w:val="00140646"/>
    <w:rsid w:val="00147A4B"/>
    <w:rsid w:val="001671ED"/>
    <w:rsid w:val="001727FA"/>
    <w:rsid w:val="00173D4C"/>
    <w:rsid w:val="00177BBF"/>
    <w:rsid w:val="00183218"/>
    <w:rsid w:val="00185988"/>
    <w:rsid w:val="001873B6"/>
    <w:rsid w:val="001901E6"/>
    <w:rsid w:val="00191305"/>
    <w:rsid w:val="00195B55"/>
    <w:rsid w:val="001A2486"/>
    <w:rsid w:val="001A2FE8"/>
    <w:rsid w:val="001A33AC"/>
    <w:rsid w:val="001C1C51"/>
    <w:rsid w:val="001E0ECA"/>
    <w:rsid w:val="001E206F"/>
    <w:rsid w:val="001E5750"/>
    <w:rsid w:val="001E7739"/>
    <w:rsid w:val="001F3DB4"/>
    <w:rsid w:val="00204F40"/>
    <w:rsid w:val="00205DEF"/>
    <w:rsid w:val="00211DF9"/>
    <w:rsid w:val="00216C8A"/>
    <w:rsid w:val="00226317"/>
    <w:rsid w:val="00226460"/>
    <w:rsid w:val="00231539"/>
    <w:rsid w:val="0023756F"/>
    <w:rsid w:val="002523E3"/>
    <w:rsid w:val="00266FA5"/>
    <w:rsid w:val="002920F4"/>
    <w:rsid w:val="002940F3"/>
    <w:rsid w:val="00295842"/>
    <w:rsid w:val="002B3574"/>
    <w:rsid w:val="002B6B74"/>
    <w:rsid w:val="002C6AE7"/>
    <w:rsid w:val="002C7018"/>
    <w:rsid w:val="002D2D4B"/>
    <w:rsid w:val="002D3805"/>
    <w:rsid w:val="002E66AE"/>
    <w:rsid w:val="002E7763"/>
    <w:rsid w:val="002F5842"/>
    <w:rsid w:val="00306CB7"/>
    <w:rsid w:val="003111F5"/>
    <w:rsid w:val="00336200"/>
    <w:rsid w:val="00337418"/>
    <w:rsid w:val="00351D83"/>
    <w:rsid w:val="0035286C"/>
    <w:rsid w:val="00353E46"/>
    <w:rsid w:val="003576C4"/>
    <w:rsid w:val="00366AB0"/>
    <w:rsid w:val="003720C5"/>
    <w:rsid w:val="0037437C"/>
    <w:rsid w:val="0038146B"/>
    <w:rsid w:val="0038340F"/>
    <w:rsid w:val="00383646"/>
    <w:rsid w:val="00384457"/>
    <w:rsid w:val="00384F24"/>
    <w:rsid w:val="003A32B2"/>
    <w:rsid w:val="003A47DD"/>
    <w:rsid w:val="003A634F"/>
    <w:rsid w:val="003B3A2D"/>
    <w:rsid w:val="003B588A"/>
    <w:rsid w:val="003B621D"/>
    <w:rsid w:val="003B787E"/>
    <w:rsid w:val="003C4388"/>
    <w:rsid w:val="003C4C27"/>
    <w:rsid w:val="003C7F7B"/>
    <w:rsid w:val="003D0F1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33B9"/>
    <w:rsid w:val="00435A89"/>
    <w:rsid w:val="00452267"/>
    <w:rsid w:val="00453307"/>
    <w:rsid w:val="00457E36"/>
    <w:rsid w:val="00461FA2"/>
    <w:rsid w:val="00462F8F"/>
    <w:rsid w:val="00466A26"/>
    <w:rsid w:val="00481D56"/>
    <w:rsid w:val="00490408"/>
    <w:rsid w:val="004A4C45"/>
    <w:rsid w:val="004B0485"/>
    <w:rsid w:val="004B428E"/>
    <w:rsid w:val="004B4D37"/>
    <w:rsid w:val="004C2CD5"/>
    <w:rsid w:val="004C42F0"/>
    <w:rsid w:val="004E1D73"/>
    <w:rsid w:val="004E271F"/>
    <w:rsid w:val="004E71AA"/>
    <w:rsid w:val="0051286E"/>
    <w:rsid w:val="00516021"/>
    <w:rsid w:val="00516457"/>
    <w:rsid w:val="00520A0C"/>
    <w:rsid w:val="00530E37"/>
    <w:rsid w:val="00533556"/>
    <w:rsid w:val="005464A1"/>
    <w:rsid w:val="00546F12"/>
    <w:rsid w:val="0055339C"/>
    <w:rsid w:val="005566FA"/>
    <w:rsid w:val="00562B3C"/>
    <w:rsid w:val="00562C6A"/>
    <w:rsid w:val="00564E40"/>
    <w:rsid w:val="005750E2"/>
    <w:rsid w:val="0058313F"/>
    <w:rsid w:val="00585859"/>
    <w:rsid w:val="00586FBC"/>
    <w:rsid w:val="005879C9"/>
    <w:rsid w:val="00597FB1"/>
    <w:rsid w:val="005A31A1"/>
    <w:rsid w:val="005A3C6B"/>
    <w:rsid w:val="005B1EA5"/>
    <w:rsid w:val="005D7176"/>
    <w:rsid w:val="005E1F24"/>
    <w:rsid w:val="005E5C97"/>
    <w:rsid w:val="005E73F1"/>
    <w:rsid w:val="005F07EF"/>
    <w:rsid w:val="00600B2E"/>
    <w:rsid w:val="00607CEB"/>
    <w:rsid w:val="00613299"/>
    <w:rsid w:val="0061762D"/>
    <w:rsid w:val="00634238"/>
    <w:rsid w:val="00635FBC"/>
    <w:rsid w:val="00637728"/>
    <w:rsid w:val="0064113A"/>
    <w:rsid w:val="006431A1"/>
    <w:rsid w:val="00644002"/>
    <w:rsid w:val="006458B1"/>
    <w:rsid w:val="00650529"/>
    <w:rsid w:val="00650A5D"/>
    <w:rsid w:val="00650BAB"/>
    <w:rsid w:val="00651737"/>
    <w:rsid w:val="006671BF"/>
    <w:rsid w:val="00672A7D"/>
    <w:rsid w:val="00681416"/>
    <w:rsid w:val="00687695"/>
    <w:rsid w:val="006A06F5"/>
    <w:rsid w:val="006A0ED2"/>
    <w:rsid w:val="006B0A73"/>
    <w:rsid w:val="006B443D"/>
    <w:rsid w:val="006B5A6B"/>
    <w:rsid w:val="006C0F82"/>
    <w:rsid w:val="006C332E"/>
    <w:rsid w:val="006C5901"/>
    <w:rsid w:val="006D6372"/>
    <w:rsid w:val="006D6E5C"/>
    <w:rsid w:val="006E02AF"/>
    <w:rsid w:val="006E0786"/>
    <w:rsid w:val="006E6B4A"/>
    <w:rsid w:val="006E7449"/>
    <w:rsid w:val="006E7FB1"/>
    <w:rsid w:val="006F2604"/>
    <w:rsid w:val="006F33DF"/>
    <w:rsid w:val="006F5319"/>
    <w:rsid w:val="006F55FD"/>
    <w:rsid w:val="006F5D21"/>
    <w:rsid w:val="0070084E"/>
    <w:rsid w:val="00711BE3"/>
    <w:rsid w:val="00721A9A"/>
    <w:rsid w:val="00724FA7"/>
    <w:rsid w:val="00725415"/>
    <w:rsid w:val="00727505"/>
    <w:rsid w:val="00731581"/>
    <w:rsid w:val="00741B9E"/>
    <w:rsid w:val="00743DAC"/>
    <w:rsid w:val="0075337B"/>
    <w:rsid w:val="00755CD4"/>
    <w:rsid w:val="00757F96"/>
    <w:rsid w:val="00785285"/>
    <w:rsid w:val="0078529D"/>
    <w:rsid w:val="00787DC1"/>
    <w:rsid w:val="00794070"/>
    <w:rsid w:val="007952A2"/>
    <w:rsid w:val="007A5ED5"/>
    <w:rsid w:val="007A713B"/>
    <w:rsid w:val="007B64E5"/>
    <w:rsid w:val="007C1724"/>
    <w:rsid w:val="007C2F04"/>
    <w:rsid w:val="007E228D"/>
    <w:rsid w:val="007F5B8B"/>
    <w:rsid w:val="007F733B"/>
    <w:rsid w:val="00817E9A"/>
    <w:rsid w:val="00826858"/>
    <w:rsid w:val="008306F4"/>
    <w:rsid w:val="00830D57"/>
    <w:rsid w:val="00846092"/>
    <w:rsid w:val="0085057B"/>
    <w:rsid w:val="00860B07"/>
    <w:rsid w:val="008616F6"/>
    <w:rsid w:val="0086259C"/>
    <w:rsid w:val="008820E0"/>
    <w:rsid w:val="00883F24"/>
    <w:rsid w:val="00897E1F"/>
    <w:rsid w:val="008B1314"/>
    <w:rsid w:val="008B2CB4"/>
    <w:rsid w:val="008B6404"/>
    <w:rsid w:val="008C2C21"/>
    <w:rsid w:val="008C7DD3"/>
    <w:rsid w:val="008D4E45"/>
    <w:rsid w:val="008E000B"/>
    <w:rsid w:val="008E2926"/>
    <w:rsid w:val="008E35C6"/>
    <w:rsid w:val="008E3F49"/>
    <w:rsid w:val="008F243B"/>
    <w:rsid w:val="008F4675"/>
    <w:rsid w:val="00904A66"/>
    <w:rsid w:val="00912888"/>
    <w:rsid w:val="0092287F"/>
    <w:rsid w:val="0092495B"/>
    <w:rsid w:val="0092660E"/>
    <w:rsid w:val="00936519"/>
    <w:rsid w:val="00941DA3"/>
    <w:rsid w:val="00942C0C"/>
    <w:rsid w:val="00945E5A"/>
    <w:rsid w:val="0095136B"/>
    <w:rsid w:val="009539E3"/>
    <w:rsid w:val="00954A5E"/>
    <w:rsid w:val="009551B2"/>
    <w:rsid w:val="00964625"/>
    <w:rsid w:val="00981C1D"/>
    <w:rsid w:val="0099109C"/>
    <w:rsid w:val="0099148B"/>
    <w:rsid w:val="009936DB"/>
    <w:rsid w:val="00993CFC"/>
    <w:rsid w:val="009A1DC2"/>
    <w:rsid w:val="009B41A9"/>
    <w:rsid w:val="009C0914"/>
    <w:rsid w:val="009C27E5"/>
    <w:rsid w:val="009D71E8"/>
    <w:rsid w:val="009E104B"/>
    <w:rsid w:val="009E7DE4"/>
    <w:rsid w:val="009F3BBD"/>
    <w:rsid w:val="00A054C3"/>
    <w:rsid w:val="00A063DD"/>
    <w:rsid w:val="00A112B5"/>
    <w:rsid w:val="00A14EEA"/>
    <w:rsid w:val="00A44FBB"/>
    <w:rsid w:val="00A50104"/>
    <w:rsid w:val="00A522E0"/>
    <w:rsid w:val="00A54159"/>
    <w:rsid w:val="00A63579"/>
    <w:rsid w:val="00A638AC"/>
    <w:rsid w:val="00A64D2F"/>
    <w:rsid w:val="00A727E5"/>
    <w:rsid w:val="00A748B5"/>
    <w:rsid w:val="00A75A49"/>
    <w:rsid w:val="00A80A32"/>
    <w:rsid w:val="00A82A98"/>
    <w:rsid w:val="00A82D16"/>
    <w:rsid w:val="00A95F75"/>
    <w:rsid w:val="00A96B83"/>
    <w:rsid w:val="00AA355B"/>
    <w:rsid w:val="00AA42E5"/>
    <w:rsid w:val="00AA640B"/>
    <w:rsid w:val="00AB24FA"/>
    <w:rsid w:val="00AB65F6"/>
    <w:rsid w:val="00AD7B5A"/>
    <w:rsid w:val="00AE0885"/>
    <w:rsid w:val="00AE229F"/>
    <w:rsid w:val="00AF5E20"/>
    <w:rsid w:val="00B002FA"/>
    <w:rsid w:val="00B00327"/>
    <w:rsid w:val="00B024B3"/>
    <w:rsid w:val="00B11DE8"/>
    <w:rsid w:val="00B152D5"/>
    <w:rsid w:val="00B1703B"/>
    <w:rsid w:val="00B179ED"/>
    <w:rsid w:val="00B20E18"/>
    <w:rsid w:val="00B215B7"/>
    <w:rsid w:val="00B572C4"/>
    <w:rsid w:val="00B60858"/>
    <w:rsid w:val="00B62B9A"/>
    <w:rsid w:val="00B72D13"/>
    <w:rsid w:val="00B74D4E"/>
    <w:rsid w:val="00B80219"/>
    <w:rsid w:val="00BA19A5"/>
    <w:rsid w:val="00BA1C71"/>
    <w:rsid w:val="00BA252C"/>
    <w:rsid w:val="00BB4C68"/>
    <w:rsid w:val="00BB7BEE"/>
    <w:rsid w:val="00BC67F6"/>
    <w:rsid w:val="00BD2004"/>
    <w:rsid w:val="00BD4B12"/>
    <w:rsid w:val="00BE2F92"/>
    <w:rsid w:val="00BF0D5F"/>
    <w:rsid w:val="00C11EB4"/>
    <w:rsid w:val="00C12746"/>
    <w:rsid w:val="00C15D6F"/>
    <w:rsid w:val="00C25827"/>
    <w:rsid w:val="00C31BB8"/>
    <w:rsid w:val="00C31D3A"/>
    <w:rsid w:val="00C373EA"/>
    <w:rsid w:val="00C45308"/>
    <w:rsid w:val="00C50F27"/>
    <w:rsid w:val="00C621C1"/>
    <w:rsid w:val="00C62989"/>
    <w:rsid w:val="00C65CBB"/>
    <w:rsid w:val="00C80F37"/>
    <w:rsid w:val="00C81926"/>
    <w:rsid w:val="00C97A7F"/>
    <w:rsid w:val="00CB5B17"/>
    <w:rsid w:val="00CC4443"/>
    <w:rsid w:val="00CC5CAF"/>
    <w:rsid w:val="00CE17C2"/>
    <w:rsid w:val="00D02852"/>
    <w:rsid w:val="00D04ECB"/>
    <w:rsid w:val="00D06874"/>
    <w:rsid w:val="00D173F7"/>
    <w:rsid w:val="00D20203"/>
    <w:rsid w:val="00D204E0"/>
    <w:rsid w:val="00D21354"/>
    <w:rsid w:val="00D22400"/>
    <w:rsid w:val="00D278BA"/>
    <w:rsid w:val="00D33FE5"/>
    <w:rsid w:val="00D3573F"/>
    <w:rsid w:val="00D3578A"/>
    <w:rsid w:val="00D42EE8"/>
    <w:rsid w:val="00D4463C"/>
    <w:rsid w:val="00D451BB"/>
    <w:rsid w:val="00D501EE"/>
    <w:rsid w:val="00D517DC"/>
    <w:rsid w:val="00D5590D"/>
    <w:rsid w:val="00D601F0"/>
    <w:rsid w:val="00D618E4"/>
    <w:rsid w:val="00D61DA5"/>
    <w:rsid w:val="00D754B9"/>
    <w:rsid w:val="00D875ED"/>
    <w:rsid w:val="00D877D0"/>
    <w:rsid w:val="00D90013"/>
    <w:rsid w:val="00D91B9C"/>
    <w:rsid w:val="00D92C1B"/>
    <w:rsid w:val="00D94CC7"/>
    <w:rsid w:val="00DA1AF4"/>
    <w:rsid w:val="00DB0C60"/>
    <w:rsid w:val="00DC641A"/>
    <w:rsid w:val="00DD6B7D"/>
    <w:rsid w:val="00DD6E14"/>
    <w:rsid w:val="00DE15AC"/>
    <w:rsid w:val="00DE6DDA"/>
    <w:rsid w:val="00DF2716"/>
    <w:rsid w:val="00DF2AC6"/>
    <w:rsid w:val="00E061EC"/>
    <w:rsid w:val="00E13E51"/>
    <w:rsid w:val="00E24E79"/>
    <w:rsid w:val="00E43EAD"/>
    <w:rsid w:val="00E62DCB"/>
    <w:rsid w:val="00E651DD"/>
    <w:rsid w:val="00E66558"/>
    <w:rsid w:val="00E70D81"/>
    <w:rsid w:val="00E726A6"/>
    <w:rsid w:val="00E83E03"/>
    <w:rsid w:val="00E86F05"/>
    <w:rsid w:val="00EA3A2A"/>
    <w:rsid w:val="00EB4556"/>
    <w:rsid w:val="00EB64C8"/>
    <w:rsid w:val="00ED5108"/>
    <w:rsid w:val="00F012CA"/>
    <w:rsid w:val="00F01752"/>
    <w:rsid w:val="00F0355A"/>
    <w:rsid w:val="00F24A7E"/>
    <w:rsid w:val="00F30661"/>
    <w:rsid w:val="00F32281"/>
    <w:rsid w:val="00F33DC0"/>
    <w:rsid w:val="00F60F4F"/>
    <w:rsid w:val="00F62587"/>
    <w:rsid w:val="00F63E9E"/>
    <w:rsid w:val="00F76843"/>
    <w:rsid w:val="00F776E1"/>
    <w:rsid w:val="00F8738E"/>
    <w:rsid w:val="00F87ADE"/>
    <w:rsid w:val="00F925EB"/>
    <w:rsid w:val="00FA6DD0"/>
    <w:rsid w:val="00FB3689"/>
    <w:rsid w:val="00FC28DF"/>
    <w:rsid w:val="00FE1A9D"/>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Maths/KS2_KS3_Maths_Guidance_2017.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97806/Maths_guidance_KS_1_and_2.pdf" TargetMode="External"/><Relationship Id="rId17"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small-group-tui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one-to-one-tuition" TargetMode="External"/><Relationship Id="rId10" Type="http://schemas.openxmlformats.org/officeDocument/2006/relationships/hyperlink" Target="https://educationendowmentfoundation.org.uk/tools/assessing-and-monitoring-pupil-progress/testing/standardised-test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ph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A6F4881211140AD369C5AEC755B5D" ma:contentTypeVersion="14" ma:contentTypeDescription="Create a new document." ma:contentTypeScope="" ma:versionID="aa544a9a18aa3385294d3887fcb52e95">
  <xsd:schema xmlns:xsd="http://www.w3.org/2001/XMLSchema" xmlns:xs="http://www.w3.org/2001/XMLSchema" xmlns:p="http://schemas.microsoft.com/office/2006/metadata/properties" xmlns:ns3="f68b4200-ba8a-4ab1-bbb5-dff8f9a2db47" xmlns:ns4="974fa886-ea35-40e2-9bbb-34653d29ea3d" targetNamespace="http://schemas.microsoft.com/office/2006/metadata/properties" ma:root="true" ma:fieldsID="6ae967fb88b44aff76e0d8ca8d0d986c" ns3:_="" ns4:_="">
    <xsd:import namespace="f68b4200-ba8a-4ab1-bbb5-dff8f9a2db47"/>
    <xsd:import namespace="974fa886-ea35-40e2-9bbb-34653d29e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b4200-ba8a-4ab1-bbb5-dff8f9a2db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fa886-ea35-40e2-9bbb-34653d29e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3CBB0-D6D6-40A6-802F-C3F0BACD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b4200-ba8a-4ab1-bbb5-dff8f9a2db47"/>
    <ds:schemaRef ds:uri="974fa886-ea35-40e2-9bbb-34653d29e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E0921-7B21-4A44-B2AA-F59D61EE56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6F9713-044B-4DEE-8074-F641240AF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Graham Booth</cp:lastModifiedBy>
  <cp:revision>9</cp:revision>
  <cp:lastPrinted>2014-09-17T21:26:00Z</cp:lastPrinted>
  <dcterms:created xsi:type="dcterms:W3CDTF">2022-11-17T14:05:00Z</dcterms:created>
  <dcterms:modified xsi:type="dcterms:W3CDTF">2024-07-15T13:57:00Z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0x010100C26A6F4881211140AD369C5AEC755B5D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